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A49" w:rsidRDefault="00692A49" w:rsidP="00547E28">
      <w:pPr>
        <w:pStyle w:val="CommentText"/>
        <w:ind w:right="43"/>
        <w:rPr>
          <w:noProof/>
          <w:szCs w:val="24"/>
          <w:lang w:val="en-US"/>
        </w:rPr>
      </w:pPr>
    </w:p>
    <w:p w:rsidR="00692A49" w:rsidRDefault="00692A49" w:rsidP="00547E28">
      <w:pPr>
        <w:pStyle w:val="CommentText"/>
        <w:ind w:right="43"/>
        <w:rPr>
          <w:noProof/>
          <w:szCs w:val="24"/>
          <w:lang w:val="en-US"/>
        </w:rPr>
      </w:pPr>
    </w:p>
    <w:p w:rsidR="00840506" w:rsidRDefault="002B42F4" w:rsidP="00547E28">
      <w:pPr>
        <w:pStyle w:val="CommentText"/>
        <w:ind w:right="43"/>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506" w:rsidRDefault="002B42F4">
                            <w:r>
                              <w:rPr>
                                <w:noProof/>
                                <w:lang w:eastAsia="en-GB"/>
                              </w:rPr>
                              <w:drawing>
                                <wp:inline distT="0" distB="0" distL="0" distR="0">
                                  <wp:extent cx="935355" cy="1254760"/>
                                  <wp:effectExtent l="0" t="0" r="0" b="2540"/>
                                  <wp:docPr id="9" name="Picture 9"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840506" w:rsidRDefault="002B42F4">
                      <w:r>
                        <w:rPr>
                          <w:noProof/>
                          <w:lang w:eastAsia="en-GB"/>
                        </w:rPr>
                        <w:drawing>
                          <wp:inline distT="0" distB="0" distL="0" distR="0">
                            <wp:extent cx="935355" cy="1254760"/>
                            <wp:effectExtent l="0" t="0" r="0" b="2540"/>
                            <wp:docPr id="9" name="Picture 9"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840506" w:rsidRDefault="00840506" w:rsidP="00547E28">
      <w:pPr>
        <w:ind w:right="43"/>
        <w:jc w:val="right"/>
        <w:rPr>
          <w:b/>
          <w:bCs/>
        </w:rPr>
      </w:pPr>
    </w:p>
    <w:p w:rsidR="00840506" w:rsidRDefault="00840506" w:rsidP="00547E28">
      <w:pPr>
        <w:ind w:right="43"/>
        <w:jc w:val="right"/>
      </w:pPr>
    </w:p>
    <w:p w:rsidR="00840506" w:rsidRDefault="00840506" w:rsidP="00547E28">
      <w:pPr>
        <w:tabs>
          <w:tab w:val="left" w:pos="2160"/>
        </w:tabs>
        <w:ind w:right="43"/>
        <w:rPr>
          <w:b/>
          <w:bCs/>
        </w:rPr>
      </w:pPr>
    </w:p>
    <w:p w:rsidR="00840506" w:rsidRDefault="00840506" w:rsidP="00547E28">
      <w:pPr>
        <w:tabs>
          <w:tab w:val="left" w:pos="2160"/>
        </w:tabs>
        <w:ind w:right="43"/>
        <w:rPr>
          <w:b/>
          <w:bCs/>
        </w:rPr>
      </w:pPr>
      <w:r>
        <w:rPr>
          <w:b/>
          <w:bCs/>
        </w:rPr>
        <w:t>To:</w:t>
      </w:r>
      <w:r>
        <w:rPr>
          <w:b/>
          <w:bCs/>
        </w:rPr>
        <w:tab/>
      </w:r>
      <w:r w:rsidR="00547E28">
        <w:rPr>
          <w:b/>
          <w:bCs/>
        </w:rPr>
        <w:t>Audit and Governance Committee</w:t>
      </w:r>
    </w:p>
    <w:p w:rsidR="00840506" w:rsidRDefault="00840506" w:rsidP="00547E28">
      <w:pPr>
        <w:ind w:right="43"/>
        <w:rPr>
          <w:b/>
          <w:bCs/>
        </w:rPr>
      </w:pPr>
    </w:p>
    <w:p w:rsidR="00840506" w:rsidRDefault="00547E28" w:rsidP="00547E28">
      <w:pPr>
        <w:tabs>
          <w:tab w:val="left" w:pos="2160"/>
          <w:tab w:val="left" w:pos="6300"/>
          <w:tab w:val="left" w:pos="7380"/>
        </w:tabs>
        <w:ind w:right="43"/>
        <w:rPr>
          <w:b/>
          <w:bCs/>
        </w:rPr>
      </w:pPr>
      <w:r>
        <w:rPr>
          <w:b/>
          <w:bCs/>
        </w:rPr>
        <w:t>Date:</w:t>
      </w:r>
      <w:r>
        <w:rPr>
          <w:b/>
          <w:bCs/>
        </w:rPr>
        <w:tab/>
      </w:r>
      <w:r w:rsidR="00692A49">
        <w:rPr>
          <w:b/>
          <w:bCs/>
        </w:rPr>
        <w:t>24</w:t>
      </w:r>
      <w:r w:rsidR="00692A49">
        <w:rPr>
          <w:b/>
          <w:bCs/>
          <w:vertAlign w:val="superscript"/>
        </w:rPr>
        <w:t xml:space="preserve"> </w:t>
      </w:r>
      <w:r w:rsidR="00692A49">
        <w:rPr>
          <w:b/>
          <w:bCs/>
        </w:rPr>
        <w:t>November</w:t>
      </w:r>
      <w:r w:rsidR="00F16E82">
        <w:rPr>
          <w:b/>
          <w:bCs/>
        </w:rPr>
        <w:t xml:space="preserve"> 20</w:t>
      </w:r>
      <w:r w:rsidR="005F006A">
        <w:rPr>
          <w:b/>
          <w:bCs/>
        </w:rPr>
        <w:t>20</w:t>
      </w:r>
      <w:r w:rsidR="00840506">
        <w:rPr>
          <w:b/>
          <w:bCs/>
        </w:rPr>
        <w:tab/>
      </w:r>
      <w:r w:rsidR="00840506">
        <w:rPr>
          <w:b/>
          <w:bCs/>
        </w:rPr>
        <w:tab/>
      </w:r>
    </w:p>
    <w:p w:rsidR="00840506" w:rsidRDefault="00840506" w:rsidP="00547E28">
      <w:pPr>
        <w:ind w:right="43"/>
        <w:jc w:val="right"/>
        <w:rPr>
          <w:b/>
          <w:bCs/>
        </w:rPr>
      </w:pPr>
    </w:p>
    <w:p w:rsidR="00840506" w:rsidRDefault="00840506" w:rsidP="00547E28">
      <w:pPr>
        <w:tabs>
          <w:tab w:val="left" w:pos="2127"/>
        </w:tabs>
        <w:ind w:right="43"/>
        <w:rPr>
          <w:b/>
          <w:bCs/>
        </w:rPr>
      </w:pPr>
      <w:r>
        <w:rPr>
          <w:b/>
          <w:bCs/>
        </w:rPr>
        <w:t>Report of:</w:t>
      </w:r>
      <w:r>
        <w:rPr>
          <w:b/>
          <w:bCs/>
        </w:rPr>
        <w:tab/>
      </w:r>
      <w:r w:rsidR="00E23D50">
        <w:rPr>
          <w:b/>
          <w:bCs/>
        </w:rPr>
        <w:t>Head of Financial Services</w:t>
      </w:r>
    </w:p>
    <w:p w:rsidR="00840506" w:rsidRDefault="00840506" w:rsidP="00547E28">
      <w:pPr>
        <w:tabs>
          <w:tab w:val="left" w:pos="2160"/>
        </w:tabs>
        <w:ind w:right="43"/>
        <w:rPr>
          <w:b/>
          <w:bCs/>
        </w:rPr>
      </w:pPr>
    </w:p>
    <w:p w:rsidR="00840506" w:rsidRDefault="00840506" w:rsidP="00547E28">
      <w:pPr>
        <w:tabs>
          <w:tab w:val="left" w:pos="2160"/>
        </w:tabs>
        <w:ind w:left="2127" w:right="43" w:hanging="2127"/>
        <w:rPr>
          <w:b/>
          <w:bCs/>
        </w:rPr>
      </w:pPr>
      <w:r>
        <w:rPr>
          <w:b/>
          <w:bCs/>
        </w:rPr>
        <w:t xml:space="preserve">Title of Report: </w:t>
      </w:r>
      <w:r>
        <w:rPr>
          <w:b/>
          <w:bCs/>
        </w:rPr>
        <w:tab/>
      </w:r>
      <w:r w:rsidR="00547E28">
        <w:rPr>
          <w:b/>
          <w:bCs/>
        </w:rPr>
        <w:t>Statement of Accounts for the Year Ending 31</w:t>
      </w:r>
      <w:r w:rsidR="00547E28" w:rsidRPr="00547E28">
        <w:rPr>
          <w:b/>
          <w:bCs/>
          <w:vertAlign w:val="superscript"/>
        </w:rPr>
        <w:t>st</w:t>
      </w:r>
      <w:r w:rsidR="00547E28">
        <w:rPr>
          <w:b/>
          <w:bCs/>
        </w:rPr>
        <w:t xml:space="preserve"> March 20</w:t>
      </w:r>
      <w:r w:rsidR="005F006A">
        <w:rPr>
          <w:b/>
          <w:bCs/>
        </w:rPr>
        <w:t>20</w:t>
      </w:r>
    </w:p>
    <w:p w:rsidR="00840506" w:rsidRDefault="00840506" w:rsidP="00547E28">
      <w:pPr>
        <w:ind w:right="43"/>
        <w:jc w:val="center"/>
        <w:rPr>
          <w:b/>
          <w:bCs/>
        </w:rPr>
      </w:pPr>
    </w:p>
    <w:p w:rsidR="00840506" w:rsidRDefault="00840506" w:rsidP="00692A49">
      <w:pPr>
        <w:pStyle w:val="Heading1"/>
      </w:pPr>
    </w:p>
    <w:p w:rsidR="00840506" w:rsidRDefault="00840506" w:rsidP="00692A49">
      <w:pPr>
        <w:pStyle w:val="Heading1"/>
      </w:pPr>
      <w:r>
        <w:t>Summary and Recommendations</w:t>
      </w:r>
    </w:p>
    <w:p w:rsidR="00840506" w:rsidRDefault="00840506" w:rsidP="00547E28">
      <w:pPr>
        <w:pBdr>
          <w:top w:val="single" w:sz="4" w:space="1" w:color="auto"/>
          <w:left w:val="single" w:sz="4" w:space="4" w:color="auto"/>
          <w:bottom w:val="single" w:sz="4" w:space="1" w:color="auto"/>
          <w:right w:val="single" w:sz="4" w:space="4" w:color="auto"/>
        </w:pBdr>
        <w:ind w:right="43"/>
      </w:pPr>
    </w:p>
    <w:p w:rsidR="00840506" w:rsidRDefault="00840506" w:rsidP="00547E28">
      <w:pPr>
        <w:pBdr>
          <w:top w:val="single" w:sz="4" w:space="1" w:color="auto"/>
          <w:left w:val="single" w:sz="4" w:space="4" w:color="auto"/>
          <w:bottom w:val="single" w:sz="4" w:space="1" w:color="auto"/>
          <w:right w:val="single" w:sz="4" w:space="4" w:color="auto"/>
        </w:pBdr>
        <w:ind w:right="43"/>
      </w:pPr>
    </w:p>
    <w:p w:rsidR="00E60879" w:rsidRDefault="00840506" w:rsidP="00E60879">
      <w:pPr>
        <w:pBdr>
          <w:top w:val="single" w:sz="4" w:space="1" w:color="auto"/>
          <w:left w:val="single" w:sz="4" w:space="4" w:color="auto"/>
          <w:bottom w:val="single" w:sz="4" w:space="1" w:color="auto"/>
          <w:right w:val="single" w:sz="4" w:space="4" w:color="auto"/>
        </w:pBdr>
        <w:ind w:left="2835" w:right="43" w:hanging="2835"/>
      </w:pPr>
      <w:r>
        <w:rPr>
          <w:b/>
          <w:bCs/>
        </w:rPr>
        <w:t>Purpose of report</w:t>
      </w:r>
      <w:r>
        <w:t xml:space="preserve">:  </w:t>
      </w:r>
      <w:r>
        <w:tab/>
      </w:r>
      <w:r w:rsidR="005C2AE5" w:rsidRPr="005C2AE5">
        <w:t>To submit the Council’s Statement of Accounts and Letter of Representation for approval and authorisation.</w:t>
      </w:r>
    </w:p>
    <w:p w:rsidR="00840506" w:rsidRDefault="00840506" w:rsidP="00E60879">
      <w:pPr>
        <w:pBdr>
          <w:top w:val="single" w:sz="4" w:space="1" w:color="auto"/>
          <w:left w:val="single" w:sz="4" w:space="4" w:color="auto"/>
          <w:bottom w:val="single" w:sz="4" w:space="1" w:color="auto"/>
          <w:right w:val="single" w:sz="4" w:space="4" w:color="auto"/>
        </w:pBdr>
        <w:ind w:left="2835" w:right="43" w:hanging="2835"/>
      </w:pPr>
    </w:p>
    <w:p w:rsidR="00840506" w:rsidRDefault="00E60879" w:rsidP="00547E28">
      <w:pPr>
        <w:pBdr>
          <w:top w:val="single" w:sz="4" w:space="1" w:color="auto"/>
          <w:left w:val="single" w:sz="4" w:space="4" w:color="auto"/>
          <w:bottom w:val="single" w:sz="4" w:space="1" w:color="auto"/>
          <w:right w:val="single" w:sz="4" w:space="4" w:color="auto"/>
        </w:pBdr>
        <w:ind w:right="43"/>
        <w:rPr>
          <w:b/>
          <w:bCs/>
        </w:rPr>
      </w:pPr>
      <w:r>
        <w:rPr>
          <w:b/>
          <w:bCs/>
        </w:rPr>
        <w:t>Key Decision</w:t>
      </w:r>
      <w:r w:rsidR="00547E28">
        <w:rPr>
          <w:b/>
          <w:bCs/>
        </w:rPr>
        <w:tab/>
      </w:r>
      <w:r>
        <w:rPr>
          <w:b/>
          <w:bCs/>
        </w:rPr>
        <w:tab/>
        <w:t>No</w:t>
      </w:r>
    </w:p>
    <w:p w:rsidR="00E60879" w:rsidRDefault="00E60879" w:rsidP="00547E28">
      <w:pPr>
        <w:pBdr>
          <w:top w:val="single" w:sz="4" w:space="1" w:color="auto"/>
          <w:left w:val="single" w:sz="4" w:space="4" w:color="auto"/>
          <w:bottom w:val="single" w:sz="4" w:space="1" w:color="auto"/>
          <w:right w:val="single" w:sz="4" w:space="4" w:color="auto"/>
        </w:pBdr>
        <w:ind w:right="43"/>
        <w:rPr>
          <w:b/>
          <w:bCs/>
        </w:rPr>
      </w:pPr>
    </w:p>
    <w:p w:rsidR="00E60879" w:rsidRDefault="00A21974" w:rsidP="00547E28">
      <w:pPr>
        <w:pBdr>
          <w:top w:val="single" w:sz="4" w:space="1" w:color="auto"/>
          <w:left w:val="single" w:sz="4" w:space="4" w:color="auto"/>
          <w:bottom w:val="single" w:sz="4" w:space="1" w:color="auto"/>
          <w:right w:val="single" w:sz="4" w:space="4" w:color="auto"/>
        </w:pBdr>
        <w:ind w:right="43"/>
        <w:rPr>
          <w:b/>
          <w:bCs/>
        </w:rPr>
      </w:pPr>
      <w:r>
        <w:rPr>
          <w:b/>
          <w:bCs/>
        </w:rPr>
        <w:t>Cabinet</w:t>
      </w:r>
      <w:r w:rsidR="00E60879">
        <w:rPr>
          <w:b/>
          <w:bCs/>
        </w:rPr>
        <w:t xml:space="preserve"> lead member</w:t>
      </w:r>
      <w:r w:rsidR="00E60879">
        <w:rPr>
          <w:b/>
          <w:bCs/>
        </w:rPr>
        <w:tab/>
        <w:t>Councillor Ed Turner</w:t>
      </w:r>
    </w:p>
    <w:p w:rsidR="00692A49" w:rsidRDefault="00E60879" w:rsidP="00692A49">
      <w:pPr>
        <w:pBdr>
          <w:top w:val="single" w:sz="4" w:space="1" w:color="auto"/>
          <w:left w:val="single" w:sz="4" w:space="4" w:color="auto"/>
          <w:bottom w:val="single" w:sz="4" w:space="1" w:color="auto"/>
          <w:right w:val="single" w:sz="4" w:space="4" w:color="auto"/>
        </w:pBdr>
        <w:ind w:right="43"/>
        <w:rPr>
          <w:b/>
          <w:bCs/>
        </w:rPr>
      </w:pPr>
      <w:r>
        <w:rPr>
          <w:b/>
          <w:bCs/>
        </w:rPr>
        <w:tab/>
      </w:r>
    </w:p>
    <w:p w:rsidR="00A97F1B" w:rsidRPr="00692A49" w:rsidRDefault="00A97F1B" w:rsidP="00692A49">
      <w:pPr>
        <w:pBdr>
          <w:top w:val="single" w:sz="4" w:space="1" w:color="auto"/>
          <w:left w:val="single" w:sz="4" w:space="4" w:color="auto"/>
          <w:bottom w:val="single" w:sz="4" w:space="1" w:color="auto"/>
          <w:right w:val="single" w:sz="4" w:space="4" w:color="auto"/>
        </w:pBdr>
        <w:ind w:right="43"/>
        <w:rPr>
          <w:b/>
          <w:bCs/>
        </w:rPr>
      </w:pPr>
    </w:p>
    <w:p w:rsidR="005C2AE5" w:rsidRDefault="00692A49" w:rsidP="00E60879">
      <w:pPr>
        <w:pBdr>
          <w:top w:val="single" w:sz="4" w:space="1" w:color="auto"/>
          <w:left w:val="single" w:sz="4" w:space="4" w:color="auto"/>
          <w:bottom w:val="single" w:sz="4" w:space="1" w:color="auto"/>
          <w:right w:val="single" w:sz="4" w:space="4" w:color="auto"/>
        </w:pBdr>
        <w:tabs>
          <w:tab w:val="left" w:pos="2835"/>
        </w:tabs>
        <w:ind w:left="2835" w:right="43" w:hanging="2835"/>
        <w:rPr>
          <w:b/>
        </w:rPr>
      </w:pPr>
      <w:r>
        <w:rPr>
          <w:b/>
        </w:rPr>
        <w:t>Recommendation</w:t>
      </w:r>
      <w:r w:rsidR="00840506">
        <w:rPr>
          <w:b/>
        </w:rPr>
        <w:t xml:space="preserve">: </w:t>
      </w:r>
      <w:r w:rsidR="00840506">
        <w:rPr>
          <w:b/>
        </w:rPr>
        <w:tab/>
      </w:r>
      <w:r w:rsidR="00E60879">
        <w:rPr>
          <w:b/>
        </w:rPr>
        <w:t>That the Committee</w:t>
      </w:r>
      <w:r w:rsidR="005C2AE5">
        <w:rPr>
          <w:b/>
        </w:rPr>
        <w:t>:</w:t>
      </w:r>
    </w:p>
    <w:p w:rsidR="005C2AE5" w:rsidRDefault="005C2AE5" w:rsidP="00E60879">
      <w:pPr>
        <w:pBdr>
          <w:top w:val="single" w:sz="4" w:space="1" w:color="auto"/>
          <w:left w:val="single" w:sz="4" w:space="4" w:color="auto"/>
          <w:bottom w:val="single" w:sz="4" w:space="1" w:color="auto"/>
          <w:right w:val="single" w:sz="4" w:space="4" w:color="auto"/>
        </w:pBdr>
        <w:tabs>
          <w:tab w:val="left" w:pos="2835"/>
        </w:tabs>
        <w:ind w:left="2835" w:right="43" w:hanging="2835"/>
        <w:rPr>
          <w:b/>
        </w:rPr>
      </w:pPr>
    </w:p>
    <w:p w:rsidR="006A5C71" w:rsidRDefault="00692A49" w:rsidP="002D3151">
      <w:pPr>
        <w:pBdr>
          <w:top w:val="single" w:sz="4" w:space="1" w:color="auto"/>
          <w:left w:val="single" w:sz="4" w:space="4" w:color="auto"/>
          <w:bottom w:val="single" w:sz="4" w:space="1" w:color="auto"/>
          <w:right w:val="single" w:sz="4" w:space="4" w:color="auto"/>
        </w:pBdr>
        <w:tabs>
          <w:tab w:val="left" w:pos="851"/>
        </w:tabs>
        <w:ind w:left="851" w:right="43" w:hanging="851"/>
        <w:rPr>
          <w:b/>
        </w:rPr>
      </w:pPr>
      <w:r>
        <w:rPr>
          <w:b/>
        </w:rPr>
        <w:t>1.</w:t>
      </w:r>
      <w:r w:rsidR="005C2AE5">
        <w:rPr>
          <w:b/>
        </w:rPr>
        <w:tab/>
      </w:r>
      <w:r w:rsidR="005C2AE5" w:rsidRPr="005C2AE5">
        <w:rPr>
          <w:b/>
        </w:rPr>
        <w:t>Approve the audited 201</w:t>
      </w:r>
      <w:r w:rsidR="005F006A">
        <w:rPr>
          <w:b/>
        </w:rPr>
        <w:t>9</w:t>
      </w:r>
      <w:r w:rsidR="005C2AE5" w:rsidRPr="005C2AE5">
        <w:rPr>
          <w:b/>
        </w:rPr>
        <w:t>/</w:t>
      </w:r>
      <w:r w:rsidR="005F006A">
        <w:rPr>
          <w:b/>
        </w:rPr>
        <w:t>20</w:t>
      </w:r>
      <w:r w:rsidR="005C2AE5" w:rsidRPr="005C2AE5">
        <w:rPr>
          <w:b/>
        </w:rPr>
        <w:t xml:space="preserve"> Statement of Accounts as certified by the Head of Financial Services and authorise the Chair of the Committee to sign the Accounts</w:t>
      </w:r>
    </w:p>
    <w:p w:rsidR="005C2AE5" w:rsidRDefault="00692A49" w:rsidP="002D3151">
      <w:pPr>
        <w:pBdr>
          <w:top w:val="single" w:sz="4" w:space="1" w:color="auto"/>
          <w:left w:val="single" w:sz="4" w:space="4" w:color="auto"/>
          <w:bottom w:val="single" w:sz="4" w:space="1" w:color="auto"/>
          <w:right w:val="single" w:sz="4" w:space="4" w:color="auto"/>
        </w:pBdr>
        <w:tabs>
          <w:tab w:val="left" w:pos="851"/>
        </w:tabs>
        <w:ind w:left="851" w:right="43" w:hanging="851"/>
        <w:rPr>
          <w:b/>
        </w:rPr>
      </w:pPr>
      <w:r>
        <w:rPr>
          <w:b/>
        </w:rPr>
        <w:t>2.</w:t>
      </w:r>
      <w:r w:rsidR="005C2AE5">
        <w:rPr>
          <w:b/>
        </w:rPr>
        <w:tab/>
      </w:r>
      <w:r w:rsidR="005C2AE5" w:rsidRPr="005C2AE5">
        <w:rPr>
          <w:b/>
        </w:rPr>
        <w:t xml:space="preserve">Approve the Letter of Representation to enable the opinion to be </w:t>
      </w:r>
      <w:r w:rsidR="005C2AE5" w:rsidRPr="008D7861">
        <w:rPr>
          <w:b/>
        </w:rPr>
        <w:t>issued</w:t>
      </w:r>
      <w:r w:rsidR="004F47DE">
        <w:rPr>
          <w:b/>
        </w:rPr>
        <w:t xml:space="preserve"> (paragraph 24)</w:t>
      </w:r>
    </w:p>
    <w:p w:rsidR="00840506" w:rsidRDefault="006A5C71" w:rsidP="002B42F4">
      <w:pPr>
        <w:pBdr>
          <w:top w:val="single" w:sz="4" w:space="1" w:color="auto"/>
          <w:left w:val="single" w:sz="4" w:space="4" w:color="auto"/>
          <w:bottom w:val="single" w:sz="4" w:space="1" w:color="auto"/>
          <w:right w:val="single" w:sz="4" w:space="4" w:color="auto"/>
        </w:pBdr>
        <w:tabs>
          <w:tab w:val="left" w:pos="2835"/>
        </w:tabs>
        <w:ind w:left="2835" w:right="43" w:hanging="2835"/>
        <w:rPr>
          <w:b/>
        </w:rPr>
      </w:pPr>
      <w:r>
        <w:rPr>
          <w:b/>
        </w:rPr>
        <w:tab/>
      </w:r>
    </w:p>
    <w:p w:rsidR="005C2AE5" w:rsidRDefault="005C2AE5" w:rsidP="00547E28">
      <w:pPr>
        <w:ind w:right="43"/>
      </w:pPr>
    </w:p>
    <w:p w:rsidR="00840506" w:rsidRPr="002D3151" w:rsidRDefault="005C2AE5" w:rsidP="00692A49">
      <w:pPr>
        <w:pStyle w:val="Heading1"/>
      </w:pPr>
      <w:r w:rsidRPr="002D3151">
        <w:t>Appendices</w:t>
      </w:r>
    </w:p>
    <w:p w:rsidR="00840506" w:rsidRDefault="00E60879" w:rsidP="00547E28">
      <w:pPr>
        <w:ind w:right="43"/>
        <w:rPr>
          <w:b/>
        </w:rPr>
      </w:pPr>
      <w:r w:rsidRPr="00766105">
        <w:rPr>
          <w:b/>
        </w:rPr>
        <w:t xml:space="preserve">Appendix </w:t>
      </w:r>
      <w:r w:rsidR="004F5BDB">
        <w:rPr>
          <w:b/>
        </w:rPr>
        <w:t>1</w:t>
      </w:r>
      <w:r w:rsidRPr="00766105">
        <w:rPr>
          <w:b/>
        </w:rPr>
        <w:t xml:space="preserve"> –Statement of Accounts 201</w:t>
      </w:r>
      <w:r w:rsidR="005F006A">
        <w:rPr>
          <w:b/>
        </w:rPr>
        <w:t>9</w:t>
      </w:r>
      <w:r w:rsidRPr="00766105">
        <w:rPr>
          <w:b/>
        </w:rPr>
        <w:t>/</w:t>
      </w:r>
      <w:r w:rsidR="005F006A">
        <w:rPr>
          <w:b/>
        </w:rPr>
        <w:t>20</w:t>
      </w:r>
    </w:p>
    <w:p w:rsidR="005C2AE5" w:rsidRPr="00766105" w:rsidRDefault="005C2AE5" w:rsidP="00547E28">
      <w:pPr>
        <w:ind w:right="43"/>
        <w:rPr>
          <w:b/>
        </w:rPr>
      </w:pPr>
      <w:r>
        <w:rPr>
          <w:b/>
        </w:rPr>
        <w:t xml:space="preserve">Appendix </w:t>
      </w:r>
      <w:r w:rsidR="004F5BDB">
        <w:rPr>
          <w:b/>
        </w:rPr>
        <w:t>2</w:t>
      </w:r>
      <w:r>
        <w:rPr>
          <w:b/>
        </w:rPr>
        <w:t xml:space="preserve"> – Letter of Representation</w:t>
      </w:r>
    </w:p>
    <w:p w:rsidR="00E60879" w:rsidRDefault="00E60879" w:rsidP="00547E28">
      <w:pPr>
        <w:ind w:right="43"/>
      </w:pPr>
    </w:p>
    <w:p w:rsidR="005C2AE5" w:rsidRDefault="005C2AE5" w:rsidP="00692A49">
      <w:pPr>
        <w:pStyle w:val="Heading1"/>
      </w:pPr>
      <w:r w:rsidRPr="00692A49">
        <w:t>Background</w:t>
      </w:r>
    </w:p>
    <w:p w:rsidR="009A6741" w:rsidRDefault="009A6741" w:rsidP="00FF3D86">
      <w:pPr>
        <w:numPr>
          <w:ilvl w:val="0"/>
          <w:numId w:val="22"/>
        </w:numPr>
        <w:ind w:right="43"/>
      </w:pPr>
      <w:r>
        <w:t>The Statement of Accounts for 201</w:t>
      </w:r>
      <w:r w:rsidR="005F006A">
        <w:t>9</w:t>
      </w:r>
      <w:r>
        <w:t>/</w:t>
      </w:r>
      <w:r w:rsidR="005F006A">
        <w:t>20</w:t>
      </w:r>
      <w:r>
        <w:t xml:space="preserve"> </w:t>
      </w:r>
      <w:r w:rsidRPr="009A6741">
        <w:t>(the Statements)</w:t>
      </w:r>
      <w:r>
        <w:t xml:space="preserve"> are attached at Appendix A. The Accounts and Audit Regulations 2015 which revoke and replace the 2011 Regulations invoke earlier dates for the preparation, approval and publication of the Statements.  </w:t>
      </w:r>
      <w:r w:rsidRPr="009A6741">
        <w:t xml:space="preserve">Accounts </w:t>
      </w:r>
      <w:r w:rsidR="005F006A">
        <w:t xml:space="preserve">normally </w:t>
      </w:r>
      <w:r>
        <w:t xml:space="preserve">now have to be </w:t>
      </w:r>
      <w:r w:rsidRPr="009A6741">
        <w:t>co</w:t>
      </w:r>
      <w:r>
        <w:t>mpleted and published in draft form by 31</w:t>
      </w:r>
      <w:r w:rsidRPr="00FF3D86">
        <w:rPr>
          <w:vertAlign w:val="superscript"/>
        </w:rPr>
        <w:t>st</w:t>
      </w:r>
      <w:r w:rsidR="00FF3D86">
        <w:t xml:space="preserve"> </w:t>
      </w:r>
      <w:r>
        <w:t xml:space="preserve">May and audited, approved and published </w:t>
      </w:r>
      <w:r w:rsidRPr="009A6741">
        <w:t>by 31</w:t>
      </w:r>
      <w:r w:rsidRPr="00FF3D86">
        <w:rPr>
          <w:vertAlign w:val="superscript"/>
        </w:rPr>
        <w:t>st</w:t>
      </w:r>
      <w:r w:rsidR="00FF3D86">
        <w:t xml:space="preserve"> </w:t>
      </w:r>
      <w:r w:rsidRPr="009A6741">
        <w:t>July</w:t>
      </w:r>
      <w:r>
        <w:t>.</w:t>
      </w:r>
      <w:r w:rsidR="005F006A">
        <w:t xml:space="preserve">  </w:t>
      </w:r>
      <w:r w:rsidR="00FF3D86" w:rsidRPr="00FF3D86">
        <w:t>The Accounts and Audit (Coronavirus)</w:t>
      </w:r>
      <w:r w:rsidR="00FF3D86">
        <w:t xml:space="preserve"> </w:t>
      </w:r>
      <w:r w:rsidR="00FF3D86" w:rsidRPr="00FF3D86">
        <w:t>(Amendment) Regulations 2020</w:t>
      </w:r>
      <w:r w:rsidR="00FF3D86">
        <w:t xml:space="preserve"> amended these dates for </w:t>
      </w:r>
      <w:r w:rsidR="00FF3D86">
        <w:lastRenderedPageBreak/>
        <w:t>the 2019/20 Statements only to 31</w:t>
      </w:r>
      <w:r w:rsidR="00FF3D86" w:rsidRPr="00FF3D86">
        <w:rPr>
          <w:vertAlign w:val="superscript"/>
        </w:rPr>
        <w:t>st</w:t>
      </w:r>
      <w:r w:rsidR="00FF3D86">
        <w:t xml:space="preserve"> August 2020 and 30</w:t>
      </w:r>
      <w:r w:rsidR="00FF3D86" w:rsidRPr="00FF3D86">
        <w:rPr>
          <w:vertAlign w:val="superscript"/>
        </w:rPr>
        <w:t>th</w:t>
      </w:r>
      <w:r w:rsidR="00FF3D86">
        <w:t xml:space="preserve"> November 2020 respectively.</w:t>
      </w:r>
    </w:p>
    <w:p w:rsidR="009A6741" w:rsidRDefault="009A6741" w:rsidP="009A6741">
      <w:pPr>
        <w:ind w:left="360" w:right="43"/>
      </w:pPr>
    </w:p>
    <w:p w:rsidR="005C2AE5" w:rsidRDefault="005C2AE5" w:rsidP="009A6741">
      <w:pPr>
        <w:numPr>
          <w:ilvl w:val="0"/>
          <w:numId w:val="22"/>
        </w:numPr>
        <w:ind w:right="43"/>
      </w:pPr>
      <w:r w:rsidRPr="005C2AE5">
        <w:t xml:space="preserve">On the </w:t>
      </w:r>
      <w:r w:rsidR="00FF3D86">
        <w:t>11</w:t>
      </w:r>
      <w:r w:rsidR="00FF3D86" w:rsidRPr="00FF3D86">
        <w:rPr>
          <w:vertAlign w:val="superscript"/>
        </w:rPr>
        <w:t>th</w:t>
      </w:r>
      <w:r w:rsidR="00FF3D86">
        <w:t xml:space="preserve"> June 2020</w:t>
      </w:r>
      <w:r w:rsidRPr="005C2AE5">
        <w:t xml:space="preserve"> the draft </w:t>
      </w:r>
      <w:r w:rsidR="009A6741">
        <w:t>Statements</w:t>
      </w:r>
      <w:r w:rsidRPr="005C2AE5">
        <w:t xml:space="preserve"> were certified by the ‘Responsible Officer’, the Head of Financ</w:t>
      </w:r>
      <w:r w:rsidR="00DC4421">
        <w:t>ial Services</w:t>
      </w:r>
      <w:r w:rsidRPr="005C2AE5">
        <w:t xml:space="preserve"> as a true and fair view of the financial position of the authority at the 31st March 20</w:t>
      </w:r>
      <w:r w:rsidR="00FF3D86">
        <w:t>20</w:t>
      </w:r>
      <w:r w:rsidRPr="005C2AE5">
        <w:t>. The accounts were duly authorised to be released for audit.</w:t>
      </w:r>
    </w:p>
    <w:p w:rsidR="005C2AE5" w:rsidRDefault="005C2AE5" w:rsidP="002D3151">
      <w:pPr>
        <w:ind w:left="426" w:right="43"/>
      </w:pPr>
    </w:p>
    <w:p w:rsidR="005C2AE5" w:rsidRDefault="005C2AE5" w:rsidP="002D3151">
      <w:pPr>
        <w:numPr>
          <w:ilvl w:val="0"/>
          <w:numId w:val="22"/>
        </w:numPr>
        <w:ind w:left="426" w:right="43"/>
      </w:pPr>
      <w:r w:rsidRPr="005C2AE5">
        <w:t>Following audit by Ernst and Young the Statements have been re-certified by the Head of Financial Services and re-presented to this Audit and Governance Committee for final approval, prior to the deadline in accordance with the regulations.</w:t>
      </w:r>
    </w:p>
    <w:p w:rsidR="005C2AE5" w:rsidRDefault="005C2AE5" w:rsidP="002D3151">
      <w:pPr>
        <w:pStyle w:val="ListParagraph"/>
        <w:ind w:left="426"/>
      </w:pPr>
    </w:p>
    <w:p w:rsidR="00274FD7" w:rsidRPr="00356E7D" w:rsidRDefault="00274FD7" w:rsidP="002D3151">
      <w:pPr>
        <w:numPr>
          <w:ilvl w:val="0"/>
          <w:numId w:val="22"/>
        </w:numPr>
        <w:ind w:left="426" w:right="43"/>
      </w:pPr>
      <w:r w:rsidRPr="00356E7D">
        <w:t>The 201</w:t>
      </w:r>
      <w:r w:rsidR="00FF3D86" w:rsidRPr="00356E7D">
        <w:t>9</w:t>
      </w:r>
      <w:r w:rsidRPr="00356E7D">
        <w:t>/</w:t>
      </w:r>
      <w:r w:rsidR="00FF3D86" w:rsidRPr="00356E7D">
        <w:t>20</w:t>
      </w:r>
      <w:r w:rsidRPr="00356E7D">
        <w:t xml:space="preserve"> audit is </w:t>
      </w:r>
      <w:r w:rsidR="001713E2" w:rsidRPr="00356E7D">
        <w:t xml:space="preserve">complete with some specific matters outstanding as reported in the Audit Results Report elsewhere on this agenda </w:t>
      </w:r>
      <w:r w:rsidRPr="00356E7D">
        <w:t xml:space="preserve">but it is anticipated that </w:t>
      </w:r>
      <w:r w:rsidR="001713E2" w:rsidRPr="00356E7D">
        <w:t>all matters</w:t>
      </w:r>
      <w:r w:rsidRPr="00356E7D">
        <w:t xml:space="preserve"> will be complete by the date of the Audit Committee so that the accounts can be signed off.</w:t>
      </w:r>
    </w:p>
    <w:p w:rsidR="00274FD7" w:rsidRDefault="00274FD7" w:rsidP="009A6741"/>
    <w:p w:rsidR="00274FD7" w:rsidRPr="00A35173" w:rsidRDefault="00274FD7" w:rsidP="002D3151">
      <w:pPr>
        <w:numPr>
          <w:ilvl w:val="0"/>
          <w:numId w:val="22"/>
        </w:numPr>
        <w:ind w:left="426" w:right="43"/>
      </w:pPr>
      <w:r w:rsidRPr="00A35173">
        <w:t xml:space="preserve">The auditors made some recommended changes, in line with the Code of Practice, </w:t>
      </w:r>
      <w:r w:rsidR="009A6741" w:rsidRPr="00A35173">
        <w:t xml:space="preserve">which have been incorporated into the final version of the Statements </w:t>
      </w:r>
      <w:r w:rsidRPr="00A35173">
        <w:t>and have also issued a draft report on the outcome of the audit. This report appears elsewhere on the meeting agenda.</w:t>
      </w:r>
    </w:p>
    <w:p w:rsidR="00274FD7" w:rsidRPr="008D7861" w:rsidRDefault="00274FD7" w:rsidP="002D3151">
      <w:pPr>
        <w:pStyle w:val="ListParagraph"/>
      </w:pPr>
    </w:p>
    <w:p w:rsidR="00274FD7" w:rsidRPr="008D7861" w:rsidRDefault="00274FD7" w:rsidP="002D3151">
      <w:pPr>
        <w:numPr>
          <w:ilvl w:val="0"/>
          <w:numId w:val="22"/>
        </w:numPr>
        <w:ind w:left="426" w:right="43"/>
      </w:pPr>
      <w:r w:rsidRPr="008D7861">
        <w:t>The auditors are expected to issue an unqualified opinion on the financial statements.</w:t>
      </w:r>
    </w:p>
    <w:p w:rsidR="00274FD7" w:rsidRDefault="00274FD7" w:rsidP="002D3151">
      <w:pPr>
        <w:pStyle w:val="ListParagraph"/>
      </w:pPr>
    </w:p>
    <w:p w:rsidR="00274FD7" w:rsidRDefault="00274FD7" w:rsidP="00692A49">
      <w:pPr>
        <w:pStyle w:val="Heading1"/>
      </w:pPr>
      <w:r w:rsidRPr="002D3151">
        <w:t>Uncorrected Misstatements</w:t>
      </w:r>
    </w:p>
    <w:p w:rsidR="00577A67" w:rsidRDefault="00577A67" w:rsidP="004F660F">
      <w:pPr>
        <w:numPr>
          <w:ilvl w:val="0"/>
          <w:numId w:val="22"/>
        </w:numPr>
        <w:ind w:right="43"/>
      </w:pPr>
      <w:r w:rsidRPr="00FF3D86">
        <w:t>There are uncorrected misstatements in the accounts</w:t>
      </w:r>
      <w:r w:rsidR="00232F07">
        <w:t xml:space="preserve"> relating to the pension fund calculations.  These are classified as “judgemental” differences.  Judgemental differences are where the auditors have undertaken an estimate and their estimate is different to the estimates included in the accounts, in this case the estimates provided by the Pension Fund Actuaries in their actuarial valuation report</w:t>
      </w:r>
      <w:r w:rsidRPr="00FF3D86">
        <w:t>.</w:t>
      </w:r>
      <w:r w:rsidR="00232F07">
        <w:t xml:space="preserve">  These amounts are:</w:t>
      </w:r>
    </w:p>
    <w:p w:rsidR="00692A49" w:rsidRDefault="00232F07" w:rsidP="00692A49">
      <w:pPr>
        <w:pStyle w:val="ListParagraph"/>
        <w:numPr>
          <w:ilvl w:val="0"/>
          <w:numId w:val="29"/>
        </w:numPr>
        <w:ind w:right="43"/>
      </w:pPr>
      <w:r>
        <w:t>IAS19 Liability – McCloud and Goodwin assessment where the auditors calculate a potential increase in liability of £0.56 million;</w:t>
      </w:r>
    </w:p>
    <w:p w:rsidR="00232F07" w:rsidRDefault="00232F07" w:rsidP="00232F07">
      <w:pPr>
        <w:pStyle w:val="ListParagraph"/>
        <w:numPr>
          <w:ilvl w:val="0"/>
          <w:numId w:val="29"/>
        </w:numPr>
        <w:ind w:right="43"/>
      </w:pPr>
      <w:r>
        <w:t>IAS19 Assets – valuation of the assets where the value of the assets has been assessed as being potentially £1.467 million higher.</w:t>
      </w:r>
    </w:p>
    <w:p w:rsidR="00692A49" w:rsidRDefault="00692A49" w:rsidP="00692A49">
      <w:pPr>
        <w:pStyle w:val="ListParagraph"/>
        <w:ind w:left="1080" w:right="43"/>
      </w:pPr>
    </w:p>
    <w:p w:rsidR="004F5BDB" w:rsidRDefault="00232F07" w:rsidP="00232F07">
      <w:pPr>
        <w:numPr>
          <w:ilvl w:val="0"/>
          <w:numId w:val="22"/>
        </w:numPr>
        <w:ind w:right="43"/>
      </w:pPr>
      <w:r w:rsidRPr="00FF3D86">
        <w:t>The</w:t>
      </w:r>
      <w:r>
        <w:t>se amounts are not material, both individually and in aggregate a</w:t>
      </w:r>
      <w:r w:rsidR="004F5BDB">
        <w:t>nd are included as a representation from management in the Letter of Representation (included at Appendix 2).</w:t>
      </w:r>
    </w:p>
    <w:p w:rsidR="00274FD7" w:rsidRDefault="00274FD7" w:rsidP="002D3151">
      <w:pPr>
        <w:ind w:left="426" w:right="43"/>
      </w:pPr>
    </w:p>
    <w:p w:rsidR="00274FD7" w:rsidRDefault="00B73B72" w:rsidP="00692A49">
      <w:pPr>
        <w:pStyle w:val="Heading1"/>
      </w:pPr>
      <w:r>
        <w:t>Changes to the Statements</w:t>
      </w:r>
    </w:p>
    <w:p w:rsidR="00274FD7" w:rsidRPr="00356E7D" w:rsidRDefault="00274FD7" w:rsidP="002D3151">
      <w:pPr>
        <w:numPr>
          <w:ilvl w:val="0"/>
          <w:numId w:val="22"/>
        </w:numPr>
        <w:ind w:left="426" w:right="43"/>
      </w:pPr>
      <w:r w:rsidRPr="00274FD7">
        <w:t xml:space="preserve">During the audit the external auditors identified a number of changes to the </w:t>
      </w:r>
      <w:r w:rsidR="00A97F1B">
        <w:t>accounts which the Council has</w:t>
      </w:r>
      <w:r w:rsidRPr="00356E7D">
        <w:t xml:space="preserve"> made. These changes do not have any material impact on the Council’s overall financial position as they relate to disclosure notes, Balance Sheet items or items which are reversed out of the Comprehensive Income and Expenditure Statement (CIES) under normal accounting practice.</w:t>
      </w:r>
    </w:p>
    <w:p w:rsidR="00577A67" w:rsidRDefault="00577A67" w:rsidP="00577A67">
      <w:pPr>
        <w:ind w:left="426" w:right="43"/>
      </w:pPr>
    </w:p>
    <w:p w:rsidR="00274FD7" w:rsidRPr="00232F07" w:rsidRDefault="002D3151" w:rsidP="002D3151">
      <w:pPr>
        <w:numPr>
          <w:ilvl w:val="0"/>
          <w:numId w:val="22"/>
        </w:numPr>
        <w:ind w:left="426" w:right="43"/>
      </w:pPr>
      <w:r w:rsidRPr="00232F07">
        <w:t>The Statement</w:t>
      </w:r>
      <w:r w:rsidR="00B73B72" w:rsidRPr="00232F07">
        <w:t>s</w:t>
      </w:r>
      <w:r w:rsidRPr="00232F07">
        <w:t xml:space="preserve"> attached at </w:t>
      </w:r>
      <w:r w:rsidR="00274FD7" w:rsidRPr="00232F07">
        <w:t xml:space="preserve">Appendix 1 include the adjustments that have been agreed </w:t>
      </w:r>
      <w:r w:rsidR="005F71DD" w:rsidRPr="00232F07">
        <w:t xml:space="preserve">to be made </w:t>
      </w:r>
      <w:r w:rsidR="00274FD7" w:rsidRPr="00232F07">
        <w:t>as a consequence of the audit. The changes included are:</w:t>
      </w:r>
    </w:p>
    <w:p w:rsidR="00FF3D86" w:rsidRDefault="005F71DD" w:rsidP="0017425D">
      <w:pPr>
        <w:pStyle w:val="ListParagraph"/>
        <w:numPr>
          <w:ilvl w:val="0"/>
          <w:numId w:val="23"/>
        </w:numPr>
      </w:pPr>
      <w:r>
        <w:t xml:space="preserve">Accrual of a grant amounting to £5.9m which is shown in debtors and capital grants received in advance; </w:t>
      </w:r>
    </w:p>
    <w:p w:rsidR="005F71DD" w:rsidRDefault="005F71DD" w:rsidP="0017425D">
      <w:pPr>
        <w:pStyle w:val="ListParagraph"/>
        <w:numPr>
          <w:ilvl w:val="0"/>
          <w:numId w:val="23"/>
        </w:numPr>
      </w:pPr>
      <w:r>
        <w:t xml:space="preserve">Reclassification of cash and cash equivalents </w:t>
      </w:r>
      <w:r w:rsidR="006C4072">
        <w:t xml:space="preserve">amounting to £5m </w:t>
      </w:r>
      <w:r w:rsidR="00232F07">
        <w:t>to short term investments; and</w:t>
      </w:r>
    </w:p>
    <w:p w:rsidR="00232F07" w:rsidRDefault="00232F07" w:rsidP="0017425D">
      <w:pPr>
        <w:pStyle w:val="ListParagraph"/>
        <w:numPr>
          <w:ilvl w:val="0"/>
          <w:numId w:val="23"/>
        </w:numPr>
      </w:pPr>
      <w:r>
        <w:t>Added a note on “Going Concern” as this is a requirement of the auditors.</w:t>
      </w:r>
    </w:p>
    <w:p w:rsidR="00692A49" w:rsidRDefault="00692A49" w:rsidP="00692A49">
      <w:pPr>
        <w:pStyle w:val="ListParagraph"/>
        <w:ind w:left="786"/>
      </w:pPr>
    </w:p>
    <w:p w:rsidR="00577A67" w:rsidRDefault="004F5BDB" w:rsidP="00577A67">
      <w:pPr>
        <w:ind w:left="426" w:right="43"/>
      </w:pPr>
      <w:r>
        <w:t>There were also some minor presentational and disclosure amendments which have been corrected and are below the reporting thresholds.</w:t>
      </w:r>
    </w:p>
    <w:p w:rsidR="004F5BDB" w:rsidRDefault="004F5BDB" w:rsidP="00577A67">
      <w:pPr>
        <w:ind w:left="426" w:right="43"/>
      </w:pPr>
    </w:p>
    <w:p w:rsidR="00274FD7" w:rsidRDefault="00274FD7" w:rsidP="002D3151">
      <w:pPr>
        <w:numPr>
          <w:ilvl w:val="0"/>
          <w:numId w:val="22"/>
        </w:numPr>
        <w:ind w:left="426" w:right="43"/>
      </w:pPr>
      <w:r w:rsidRPr="00274FD7">
        <w:t xml:space="preserve">A verbal update will be given at Audit and Governance Committee </w:t>
      </w:r>
      <w:r w:rsidR="00151FAF">
        <w:t>i</w:t>
      </w:r>
      <w:r w:rsidRPr="00274FD7">
        <w:t xml:space="preserve">f </w:t>
      </w:r>
      <w:r w:rsidR="00151FAF">
        <w:t xml:space="preserve">there are </w:t>
      </w:r>
      <w:r w:rsidRPr="00274FD7">
        <w:t>any subsequent changes that need to be made.</w:t>
      </w:r>
    </w:p>
    <w:p w:rsidR="00551F80" w:rsidRDefault="00551F80" w:rsidP="00551F80">
      <w:pPr>
        <w:ind w:left="426" w:right="43"/>
      </w:pPr>
    </w:p>
    <w:p w:rsidR="00577DA8" w:rsidRPr="00577DA8" w:rsidRDefault="00B73B72" w:rsidP="00692A49">
      <w:pPr>
        <w:pStyle w:val="Heading1"/>
      </w:pPr>
      <w:r>
        <w:t>The Statements</w:t>
      </w:r>
    </w:p>
    <w:p w:rsidR="00B66B8B" w:rsidRDefault="00B66B8B" w:rsidP="00B73B72">
      <w:pPr>
        <w:numPr>
          <w:ilvl w:val="0"/>
          <w:numId w:val="22"/>
        </w:numPr>
        <w:ind w:left="426" w:right="43"/>
      </w:pPr>
      <w:r w:rsidRPr="00B66B8B">
        <w:t>The Statement of Accounts consists of the following:</w:t>
      </w:r>
    </w:p>
    <w:p w:rsidR="00B66B8B" w:rsidRDefault="00B66B8B" w:rsidP="00B73B72">
      <w:pPr>
        <w:ind w:left="426" w:right="43"/>
      </w:pPr>
    </w:p>
    <w:p w:rsidR="00B73B72" w:rsidRPr="00B17F2F" w:rsidRDefault="00B73B72" w:rsidP="00577DA8">
      <w:pPr>
        <w:pStyle w:val="ListParagraph"/>
        <w:numPr>
          <w:ilvl w:val="0"/>
          <w:numId w:val="23"/>
        </w:numPr>
        <w:ind w:right="43"/>
      </w:pPr>
      <w:r>
        <w:t xml:space="preserve">The Statement of Responsibilities, setting out the general responsibilities of both the City Council, and the Section 151 Officer (The Head of Financial Services). The Head of Financial Services has to sign a statement that the Accounts present a true and fair view of the financial position of the Council at the accounting date and its income and </w:t>
      </w:r>
      <w:r w:rsidRPr="00B17F2F">
        <w:t>expenditure for that year then ended (page 6 and page 26).</w:t>
      </w:r>
    </w:p>
    <w:p w:rsidR="00B73B72" w:rsidRDefault="00B73B72" w:rsidP="00577DA8">
      <w:pPr>
        <w:pStyle w:val="ListParagraph"/>
        <w:numPr>
          <w:ilvl w:val="0"/>
          <w:numId w:val="23"/>
        </w:numPr>
        <w:ind w:right="43"/>
      </w:pPr>
      <w:r w:rsidRPr="00B17F2F">
        <w:t>The Core Financial Statements (pages 21 to 27) and supplementary</w:t>
      </w:r>
      <w:r>
        <w:t xml:space="preserve"> </w:t>
      </w:r>
      <w:r w:rsidRPr="00B17F2F">
        <w:t>statements (pages 8</w:t>
      </w:r>
      <w:r w:rsidR="00B17F2F" w:rsidRPr="00B17F2F">
        <w:t>7</w:t>
      </w:r>
      <w:r w:rsidRPr="00B17F2F">
        <w:t xml:space="preserve"> to 9</w:t>
      </w:r>
      <w:r w:rsidR="00B17F2F" w:rsidRPr="00B17F2F">
        <w:t>6</w:t>
      </w:r>
      <w:r w:rsidRPr="00B17F2F">
        <w:t>) and group accounts (pages 97 to 1</w:t>
      </w:r>
      <w:r w:rsidR="00B17F2F" w:rsidRPr="00B17F2F">
        <w:t>24</w:t>
      </w:r>
      <w:r w:rsidRPr="00B17F2F">
        <w:t>)</w:t>
      </w:r>
      <w:r>
        <w:t xml:space="preserve"> incorporating:</w:t>
      </w:r>
    </w:p>
    <w:p w:rsidR="00B73B72" w:rsidRDefault="00B73B72" w:rsidP="00692A49">
      <w:pPr>
        <w:pStyle w:val="ListParagraph"/>
        <w:numPr>
          <w:ilvl w:val="0"/>
          <w:numId w:val="26"/>
        </w:numPr>
        <w:spacing w:after="120"/>
        <w:ind w:left="1145" w:right="45" w:hanging="357"/>
      </w:pPr>
      <w:r>
        <w:t>A Movement in Reserves Statement (MIRS) - a statement used to adjust International Financial Reporting Standard accounting practice to Local Government proper practice to ensure the accounting changes do not impact on Council Tax and create any additional burden to the tax payer.</w:t>
      </w:r>
    </w:p>
    <w:p w:rsidR="00B73B72" w:rsidRDefault="00B73B72" w:rsidP="00692A49">
      <w:pPr>
        <w:pStyle w:val="ListParagraph"/>
        <w:numPr>
          <w:ilvl w:val="0"/>
          <w:numId w:val="26"/>
        </w:numPr>
        <w:spacing w:after="120"/>
        <w:ind w:left="1145" w:right="45" w:hanging="357"/>
      </w:pPr>
      <w:r>
        <w:t>The Comprehensive Income and Expenditure Statement - a statement which incorporates all revenue income and expenditure relating to the year.</w:t>
      </w:r>
    </w:p>
    <w:p w:rsidR="00B73B72" w:rsidRDefault="00B73B72" w:rsidP="00692A49">
      <w:pPr>
        <w:pStyle w:val="ListParagraph"/>
        <w:numPr>
          <w:ilvl w:val="0"/>
          <w:numId w:val="26"/>
        </w:numPr>
        <w:spacing w:after="120"/>
        <w:ind w:left="1145" w:right="45" w:hanging="357"/>
      </w:pPr>
      <w:r>
        <w:t>Expenditure and Funding Analysis - a statement that supports and provides more information on the Comprehensive Income and Expenditure Statement.</w:t>
      </w:r>
    </w:p>
    <w:p w:rsidR="00B73B72" w:rsidRDefault="00577DA8" w:rsidP="00692A49">
      <w:pPr>
        <w:pStyle w:val="ListParagraph"/>
        <w:numPr>
          <w:ilvl w:val="0"/>
          <w:numId w:val="26"/>
        </w:numPr>
        <w:spacing w:after="120"/>
        <w:ind w:left="1145" w:right="45" w:hanging="357"/>
      </w:pPr>
      <w:r>
        <w:t xml:space="preserve">A </w:t>
      </w:r>
      <w:r w:rsidR="00B73B72">
        <w:t xml:space="preserve">Balance Sheet </w:t>
      </w:r>
      <w:r w:rsidR="00577A67">
        <w:t>–</w:t>
      </w:r>
      <w:r w:rsidR="00B73B72">
        <w:t xml:space="preserve"> </w:t>
      </w:r>
      <w:r w:rsidR="00577A67">
        <w:t xml:space="preserve">a statement </w:t>
      </w:r>
      <w:r w:rsidR="00B73B72">
        <w:t>which records all the assets and liabilities at the Balance Sheet date of 31 March.</w:t>
      </w:r>
    </w:p>
    <w:p w:rsidR="00E37B28" w:rsidRDefault="00E37B28" w:rsidP="00692A49">
      <w:pPr>
        <w:pStyle w:val="ListParagraph"/>
        <w:numPr>
          <w:ilvl w:val="0"/>
          <w:numId w:val="26"/>
        </w:numPr>
        <w:spacing w:after="120"/>
        <w:ind w:left="1145" w:right="45" w:hanging="357"/>
      </w:pPr>
      <w:r>
        <w:t>A Cashflow Statement - a statement that shows the inflows and outflows of cash during the year reconciled to the year end cash position.</w:t>
      </w:r>
    </w:p>
    <w:p w:rsidR="00E37B28" w:rsidRDefault="00E37B28" w:rsidP="00692A49">
      <w:pPr>
        <w:pStyle w:val="ListParagraph"/>
        <w:numPr>
          <w:ilvl w:val="0"/>
          <w:numId w:val="26"/>
        </w:numPr>
        <w:spacing w:after="120"/>
        <w:ind w:left="1145" w:right="45" w:hanging="357"/>
      </w:pPr>
      <w:r>
        <w:t xml:space="preserve">The Housing Revenue Account - a statement which brings together all transactions during the year in relation to the management and maintenance of the </w:t>
      </w:r>
      <w:r w:rsidRPr="00A21974">
        <w:t>Council’s 7,</w:t>
      </w:r>
      <w:r w:rsidR="00577A67" w:rsidRPr="00A21974">
        <w:t>6</w:t>
      </w:r>
      <w:r w:rsidR="00C940B6" w:rsidRPr="00A21974">
        <w:t>69</w:t>
      </w:r>
      <w:r>
        <w:t xml:space="preserve"> dwelling stock.</w:t>
      </w:r>
    </w:p>
    <w:p w:rsidR="00E37B28" w:rsidRDefault="00E37B28" w:rsidP="00692A49">
      <w:pPr>
        <w:pStyle w:val="ListParagraph"/>
        <w:numPr>
          <w:ilvl w:val="0"/>
          <w:numId w:val="26"/>
        </w:numPr>
        <w:spacing w:after="120"/>
        <w:ind w:left="1145" w:right="45" w:hanging="357"/>
      </w:pPr>
      <w:r>
        <w:t xml:space="preserve">Collection Fund - a statement which brings together all transactions during the year relating to the collection of Business Rates and Council Tax income together with payments and receipts from Government and payments made </w:t>
      </w:r>
      <w:r>
        <w:lastRenderedPageBreak/>
        <w:t>to the preceptors; the County Council, Police and Crime Commissioner (Thames Valley) and Parish Councils.</w:t>
      </w:r>
    </w:p>
    <w:p w:rsidR="00E37B28" w:rsidRDefault="00E37B28" w:rsidP="00692A49">
      <w:pPr>
        <w:pStyle w:val="ListParagraph"/>
        <w:numPr>
          <w:ilvl w:val="0"/>
          <w:numId w:val="26"/>
        </w:numPr>
        <w:spacing w:after="120"/>
        <w:ind w:left="1145" w:right="45" w:hanging="357"/>
      </w:pPr>
      <w:r>
        <w:t xml:space="preserve">Group Accounts - statements which reflect the Council’s 50% interest with Grosvenor Developments Limited in a joint venture for the construction of dwellings at Barton, a 50% interest with Nuffield College in a joint venture for the regeneration of the West End area of Oxford, (OxWED) and the Council’s wholly owned </w:t>
      </w:r>
      <w:r w:rsidR="00C940B6">
        <w:t xml:space="preserve">companies, the </w:t>
      </w:r>
      <w:r>
        <w:t>Housing Company Group, Oxford City Housing Ltd (OCHL)</w:t>
      </w:r>
      <w:r w:rsidR="00C940B6">
        <w:t>, Oxford Direct Services Limited (ODSL) and Oxford Direct Services Trading Limited (ODSTL)</w:t>
      </w:r>
      <w:r>
        <w:t>. The Council’s share of the assets and liabilities of these entities are required to be incorporated into the Council’s accounts.</w:t>
      </w:r>
    </w:p>
    <w:p w:rsidR="00692A49" w:rsidRDefault="00692A49" w:rsidP="00692A49">
      <w:pPr>
        <w:pStyle w:val="ListParagraph"/>
        <w:ind w:left="1146" w:right="43"/>
      </w:pPr>
    </w:p>
    <w:p w:rsidR="00B73B72" w:rsidRPr="00B17F2F" w:rsidRDefault="00E37B28" w:rsidP="00577DA8">
      <w:pPr>
        <w:pStyle w:val="ListParagraph"/>
        <w:numPr>
          <w:ilvl w:val="0"/>
          <w:numId w:val="27"/>
        </w:numPr>
        <w:ind w:right="43"/>
      </w:pPr>
      <w:r>
        <w:t xml:space="preserve">The Statement of Accounting Policies, setting out the detailed rules under which we account for assets, liabilities, income and expenditure (pages </w:t>
      </w:r>
      <w:r w:rsidRPr="00B17F2F">
        <w:t>1</w:t>
      </w:r>
      <w:r w:rsidR="00B17F2F" w:rsidRPr="00B17F2F">
        <w:t>27 to 144</w:t>
      </w:r>
      <w:r w:rsidRPr="00B17F2F">
        <w:t>).</w:t>
      </w:r>
    </w:p>
    <w:p w:rsidR="00577DA8" w:rsidRDefault="00577DA8" w:rsidP="00577DA8">
      <w:pPr>
        <w:ind w:left="426" w:right="43"/>
      </w:pPr>
    </w:p>
    <w:p w:rsidR="00577DA8" w:rsidRPr="00577DA8" w:rsidRDefault="00AF5EEC" w:rsidP="00692A49">
      <w:pPr>
        <w:pStyle w:val="Heading1"/>
      </w:pPr>
      <w:r>
        <w:t>Summary</w:t>
      </w:r>
      <w:r w:rsidR="008D7861">
        <w:t xml:space="preserve"> of Information Found Within the Statements</w:t>
      </w:r>
    </w:p>
    <w:p w:rsidR="00577DA8" w:rsidRDefault="00AF5EEC" w:rsidP="00577DA8">
      <w:pPr>
        <w:numPr>
          <w:ilvl w:val="0"/>
          <w:numId w:val="22"/>
        </w:numPr>
        <w:ind w:right="43"/>
      </w:pPr>
      <w:r>
        <w:t xml:space="preserve">Some Key information can be gained from the </w:t>
      </w:r>
      <w:r w:rsidR="008D7861">
        <w:t>Statement</w:t>
      </w:r>
      <w:r>
        <w:t>s</w:t>
      </w:r>
      <w:r w:rsidR="00577DA8" w:rsidRPr="00B66B8B">
        <w:t>:</w:t>
      </w:r>
    </w:p>
    <w:p w:rsidR="00B66B8B" w:rsidRDefault="00B66B8B" w:rsidP="00B73B72">
      <w:pPr>
        <w:ind w:left="426" w:right="43"/>
      </w:pPr>
    </w:p>
    <w:p w:rsidR="00B66B8B" w:rsidRPr="00692A49" w:rsidRDefault="00B66B8B" w:rsidP="00692A49">
      <w:pPr>
        <w:pStyle w:val="Heading2"/>
      </w:pPr>
      <w:r w:rsidRPr="00692A49">
        <w:t>C</w:t>
      </w:r>
      <w:r w:rsidR="00AF5EEC" w:rsidRPr="00692A49">
        <w:t xml:space="preserve">omprehensive </w:t>
      </w:r>
      <w:r w:rsidRPr="00692A49">
        <w:t>I</w:t>
      </w:r>
      <w:r w:rsidR="00AF5EEC" w:rsidRPr="00692A49">
        <w:t xml:space="preserve">ncome and Expenditure Statement </w:t>
      </w:r>
      <w:r w:rsidR="00980FB3" w:rsidRPr="00692A49">
        <w:t xml:space="preserve">(CI&amp;E) </w:t>
      </w:r>
      <w:r w:rsidRPr="00692A49">
        <w:t>(page 23)</w:t>
      </w:r>
    </w:p>
    <w:p w:rsidR="00B66B8B" w:rsidRPr="002161FE" w:rsidRDefault="00AF5EEC" w:rsidP="00B17F2F">
      <w:pPr>
        <w:numPr>
          <w:ilvl w:val="0"/>
          <w:numId w:val="22"/>
        </w:numPr>
        <w:ind w:right="43"/>
      </w:pPr>
      <w:r w:rsidRPr="002161FE">
        <w:t xml:space="preserve">There is a </w:t>
      </w:r>
      <w:r w:rsidR="00C940B6">
        <w:t xml:space="preserve">surplus </w:t>
      </w:r>
      <w:r w:rsidR="00B17F2F" w:rsidRPr="002161FE">
        <w:t xml:space="preserve">of </w:t>
      </w:r>
      <w:r w:rsidR="00B66B8B" w:rsidRPr="005229AA">
        <w:t>£</w:t>
      </w:r>
      <w:r w:rsidR="00C940B6" w:rsidRPr="005229AA">
        <w:t>83.0</w:t>
      </w:r>
      <w:r w:rsidR="00B66B8B" w:rsidRPr="005229AA">
        <w:t>m compared to</w:t>
      </w:r>
      <w:r w:rsidR="00B17F2F" w:rsidRPr="005229AA">
        <w:t xml:space="preserve"> </w:t>
      </w:r>
      <w:r w:rsidR="002161FE" w:rsidRPr="005229AA">
        <w:t xml:space="preserve">a </w:t>
      </w:r>
      <w:r w:rsidR="00C940B6" w:rsidRPr="005229AA">
        <w:t xml:space="preserve">deficit of </w:t>
      </w:r>
      <w:r w:rsidR="00B66B8B" w:rsidRPr="005229AA">
        <w:t>£</w:t>
      </w:r>
      <w:r w:rsidR="00C940B6" w:rsidRPr="005229AA">
        <w:t>58.0</w:t>
      </w:r>
      <w:r w:rsidR="00B66B8B" w:rsidRPr="005229AA">
        <w:t>m</w:t>
      </w:r>
      <w:r w:rsidR="00B66B8B" w:rsidRPr="002161FE">
        <w:t xml:space="preserve"> in the </w:t>
      </w:r>
      <w:r w:rsidR="006277D2" w:rsidRPr="002161FE">
        <w:t>previous</w:t>
      </w:r>
      <w:r w:rsidR="006277D2">
        <w:t xml:space="preserve"> year</w:t>
      </w:r>
      <w:r>
        <w:t xml:space="preserve">.  </w:t>
      </w:r>
      <w:r w:rsidR="006277D2">
        <w:t>However</w:t>
      </w:r>
      <w:r>
        <w:t xml:space="preserve"> surplus is based on standard accounting practice and doesn’t reflect the statutory basis under which the Council has to manage its finances.  The actual position after applying the </w:t>
      </w:r>
      <w:r w:rsidR="006277D2">
        <w:t xml:space="preserve">statutory </w:t>
      </w:r>
      <w:r w:rsidR="00577DA8">
        <w:t>adjustments</w:t>
      </w:r>
      <w:r w:rsidR="006277D2">
        <w:t xml:space="preserve"> </w:t>
      </w:r>
      <w:r>
        <w:t xml:space="preserve">is </w:t>
      </w:r>
      <w:r w:rsidR="006277D2">
        <w:t xml:space="preserve">summarised on </w:t>
      </w:r>
      <w:r w:rsidR="006277D2" w:rsidRPr="002161FE">
        <w:t>the M</w:t>
      </w:r>
      <w:r w:rsidRPr="002161FE">
        <w:t xml:space="preserve">ovement in Reserves Statement </w:t>
      </w:r>
      <w:r w:rsidR="006277D2" w:rsidRPr="002161FE">
        <w:t>(page 25)</w:t>
      </w:r>
      <w:r w:rsidR="00980FB3" w:rsidRPr="002161FE">
        <w:t>.</w:t>
      </w:r>
    </w:p>
    <w:p w:rsidR="00625E90" w:rsidRDefault="00625E90" w:rsidP="00B73B72">
      <w:pPr>
        <w:ind w:left="426" w:right="43"/>
      </w:pPr>
    </w:p>
    <w:p w:rsidR="00625E90" w:rsidRPr="00980FB3" w:rsidRDefault="00625E90" w:rsidP="00692A49">
      <w:pPr>
        <w:pStyle w:val="Heading2"/>
      </w:pPr>
      <w:r w:rsidRPr="002161FE">
        <w:t>M</w:t>
      </w:r>
      <w:r w:rsidR="00980FB3" w:rsidRPr="002161FE">
        <w:t>ovement in Reserves Statement (M</w:t>
      </w:r>
      <w:r w:rsidRPr="002161FE">
        <w:t>iRS</w:t>
      </w:r>
      <w:r w:rsidR="00980FB3" w:rsidRPr="002161FE">
        <w:t xml:space="preserve">) </w:t>
      </w:r>
      <w:r w:rsidRPr="002161FE">
        <w:t>(page 25)</w:t>
      </w:r>
    </w:p>
    <w:p w:rsidR="00625E90" w:rsidRDefault="00625E90" w:rsidP="00692A49">
      <w:pPr>
        <w:ind w:right="43"/>
      </w:pPr>
    </w:p>
    <w:p w:rsidR="00980FB3" w:rsidRDefault="00980FB3" w:rsidP="00B73B72">
      <w:pPr>
        <w:numPr>
          <w:ilvl w:val="0"/>
          <w:numId w:val="22"/>
        </w:numPr>
        <w:ind w:left="426" w:right="43"/>
      </w:pPr>
      <w:r>
        <w:t xml:space="preserve">The MiRS shows the movement between the accounting position shown in the CI&amp;E and the </w:t>
      </w:r>
      <w:r w:rsidRPr="00980FB3">
        <w:t>overall balances available to the Council to meet future capital and revenue expenditure</w:t>
      </w:r>
      <w:r>
        <w:t xml:space="preserve">.  </w:t>
      </w:r>
      <w:r w:rsidRPr="00980FB3">
        <w:t>The adjustments are s</w:t>
      </w:r>
      <w:r>
        <w:t>h</w:t>
      </w:r>
      <w:r w:rsidRPr="00980FB3">
        <w:t xml:space="preserve">own in more detail </w:t>
      </w:r>
      <w:r w:rsidRPr="002161FE">
        <w:t>in note 8 (pages 3</w:t>
      </w:r>
      <w:r w:rsidR="002161FE" w:rsidRPr="002161FE">
        <w:t>9</w:t>
      </w:r>
      <w:r w:rsidRPr="002161FE">
        <w:t xml:space="preserve"> to 4</w:t>
      </w:r>
      <w:r w:rsidR="002161FE" w:rsidRPr="002161FE">
        <w:t>3</w:t>
      </w:r>
      <w:r w:rsidRPr="002161FE">
        <w:t>) which are made that result in the allocation of the</w:t>
      </w:r>
      <w:r w:rsidRPr="00980FB3">
        <w:t xml:space="preserve"> surplus between</w:t>
      </w:r>
      <w:r w:rsidR="00CE2DAC">
        <w:t xml:space="preserve"> usable and unusable reserves.</w:t>
      </w:r>
    </w:p>
    <w:p w:rsidR="00C82B3B" w:rsidRDefault="00C82B3B" w:rsidP="00C82B3B">
      <w:pPr>
        <w:ind w:left="426" w:right="43"/>
      </w:pPr>
    </w:p>
    <w:p w:rsidR="006277D2" w:rsidRPr="007947E3" w:rsidRDefault="006277D2" w:rsidP="00B73B72">
      <w:pPr>
        <w:numPr>
          <w:ilvl w:val="0"/>
          <w:numId w:val="22"/>
        </w:numPr>
        <w:ind w:left="426" w:right="43"/>
      </w:pPr>
      <w:r w:rsidRPr="007947E3">
        <w:t xml:space="preserve">The overall </w:t>
      </w:r>
      <w:r w:rsidR="00980FB3" w:rsidRPr="007947E3">
        <w:t>balances</w:t>
      </w:r>
      <w:r w:rsidRPr="007947E3">
        <w:t xml:space="preserve"> available to the Council to meet future capital and revenue expenditure </w:t>
      </w:r>
      <w:r w:rsidR="00980FB3" w:rsidRPr="007947E3">
        <w:t>are shown below</w:t>
      </w:r>
      <w:r w:rsidRPr="007947E3">
        <w:t>:</w:t>
      </w:r>
    </w:p>
    <w:p w:rsidR="00625E90" w:rsidRDefault="00625E90" w:rsidP="00B73B72">
      <w:pPr>
        <w:ind w:left="426" w:right="43"/>
      </w:pPr>
    </w:p>
    <w:p w:rsidR="005229AA" w:rsidRDefault="005229AA" w:rsidP="00B73B72">
      <w:pPr>
        <w:ind w:left="426" w:right="43"/>
      </w:pPr>
      <w:r w:rsidRPr="005229AA">
        <w:rPr>
          <w:noProof/>
          <w:lang w:eastAsia="en-GB"/>
        </w:rPr>
        <w:drawing>
          <wp:inline distT="0" distB="0" distL="0" distR="0">
            <wp:extent cx="5518150" cy="1785982"/>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8150" cy="1785982"/>
                    </a:xfrm>
                    <a:prstGeom prst="rect">
                      <a:avLst/>
                    </a:prstGeom>
                    <a:noFill/>
                    <a:ln>
                      <a:noFill/>
                    </a:ln>
                  </pic:spPr>
                </pic:pic>
              </a:graphicData>
            </a:graphic>
          </wp:inline>
        </w:drawing>
      </w:r>
    </w:p>
    <w:p w:rsidR="005229AA" w:rsidRDefault="005229AA" w:rsidP="00B73B72">
      <w:pPr>
        <w:ind w:left="426" w:right="43"/>
      </w:pPr>
    </w:p>
    <w:p w:rsidR="00625E90" w:rsidRPr="00CE2DAC" w:rsidRDefault="00625E90" w:rsidP="00B73B72">
      <w:pPr>
        <w:numPr>
          <w:ilvl w:val="0"/>
          <w:numId w:val="22"/>
        </w:numPr>
        <w:ind w:left="426" w:right="43"/>
      </w:pPr>
      <w:r>
        <w:t xml:space="preserve">More detail regarding the earmarked reserves can be seen in note 9 on </w:t>
      </w:r>
      <w:r w:rsidRPr="00CE2DAC">
        <w:t>pages 4</w:t>
      </w:r>
      <w:r w:rsidR="00CE2DAC" w:rsidRPr="00CE2DAC">
        <w:t>4</w:t>
      </w:r>
      <w:r w:rsidRPr="00CE2DAC">
        <w:t xml:space="preserve"> to 4</w:t>
      </w:r>
      <w:r w:rsidR="00CE2DAC" w:rsidRPr="00CE2DAC">
        <w:t>6</w:t>
      </w:r>
      <w:r w:rsidRPr="00CE2DAC">
        <w:t>.</w:t>
      </w:r>
    </w:p>
    <w:p w:rsidR="00625E90" w:rsidRDefault="00625E90" w:rsidP="00B73B72">
      <w:pPr>
        <w:ind w:left="426" w:right="43"/>
      </w:pPr>
    </w:p>
    <w:p w:rsidR="00625E90" w:rsidRPr="00980FB3" w:rsidRDefault="00625E90" w:rsidP="00692A49">
      <w:pPr>
        <w:pStyle w:val="Heading2"/>
      </w:pPr>
      <w:r w:rsidRPr="00CE2DAC">
        <w:t>The Balance Sheet (page 26)</w:t>
      </w:r>
    </w:p>
    <w:p w:rsidR="00980FB3" w:rsidRDefault="00980FB3" w:rsidP="00B73B72">
      <w:pPr>
        <w:ind w:left="426" w:right="43"/>
      </w:pPr>
    </w:p>
    <w:p w:rsidR="00625E90" w:rsidRDefault="00625E90" w:rsidP="00B73B72">
      <w:pPr>
        <w:numPr>
          <w:ilvl w:val="0"/>
          <w:numId w:val="22"/>
        </w:numPr>
        <w:ind w:left="426" w:right="43"/>
      </w:pPr>
      <w:r>
        <w:t xml:space="preserve">The </w:t>
      </w:r>
      <w:r w:rsidR="00980FB3">
        <w:t>Balance S</w:t>
      </w:r>
      <w:r>
        <w:t>heet shows an increase in the net worth of the Council which can be summarised as below:</w:t>
      </w:r>
    </w:p>
    <w:p w:rsidR="005229AA" w:rsidRDefault="005229AA" w:rsidP="005229AA">
      <w:pPr>
        <w:ind w:right="43"/>
      </w:pPr>
    </w:p>
    <w:p w:rsidR="005229AA" w:rsidRDefault="00C85CDE" w:rsidP="005229AA">
      <w:pPr>
        <w:ind w:right="43"/>
      </w:pPr>
      <w:r w:rsidRPr="00C85CDE">
        <w:rPr>
          <w:noProof/>
          <w:lang w:eastAsia="en-GB"/>
        </w:rPr>
        <w:drawing>
          <wp:inline distT="0" distB="0" distL="0" distR="0">
            <wp:extent cx="5518150" cy="12223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8150" cy="1222300"/>
                    </a:xfrm>
                    <a:prstGeom prst="rect">
                      <a:avLst/>
                    </a:prstGeom>
                    <a:noFill/>
                    <a:ln>
                      <a:noFill/>
                    </a:ln>
                  </pic:spPr>
                </pic:pic>
              </a:graphicData>
            </a:graphic>
          </wp:inline>
        </w:drawing>
      </w:r>
    </w:p>
    <w:p w:rsidR="005229AA" w:rsidRDefault="005229AA" w:rsidP="005229AA">
      <w:pPr>
        <w:ind w:right="43"/>
      </w:pPr>
    </w:p>
    <w:p w:rsidR="00692A49" w:rsidRDefault="00692A49" w:rsidP="005229AA">
      <w:pPr>
        <w:ind w:right="43"/>
      </w:pPr>
    </w:p>
    <w:p w:rsidR="002D6242" w:rsidRPr="00622C0E" w:rsidRDefault="002D6242" w:rsidP="00B73B72">
      <w:pPr>
        <w:numPr>
          <w:ilvl w:val="0"/>
          <w:numId w:val="22"/>
        </w:numPr>
        <w:ind w:left="426" w:right="43"/>
      </w:pPr>
      <w:r w:rsidRPr="00622C0E">
        <w:t xml:space="preserve">The main </w:t>
      </w:r>
      <w:r w:rsidR="00C85CDE" w:rsidRPr="00622C0E">
        <w:t>changes</w:t>
      </w:r>
      <w:r w:rsidRPr="00622C0E">
        <w:t xml:space="preserve"> relat</w:t>
      </w:r>
      <w:r w:rsidR="00C85CDE" w:rsidRPr="00622C0E">
        <w:t>e</w:t>
      </w:r>
      <w:r w:rsidRPr="00622C0E">
        <w:t xml:space="preserve"> to the </w:t>
      </w:r>
      <w:r w:rsidR="00C85CDE" w:rsidRPr="00622C0E">
        <w:t xml:space="preserve">amounts owed by and owed to the Council, arising predominantly from a reduction in the pension fund liabilities.  </w:t>
      </w:r>
      <w:r w:rsidRPr="00622C0E">
        <w:t xml:space="preserve">This increase is an </w:t>
      </w:r>
      <w:r w:rsidR="00C85CDE" w:rsidRPr="00622C0E">
        <w:t xml:space="preserve">actuarial estimate and is not available for use by </w:t>
      </w:r>
      <w:r w:rsidRPr="00622C0E">
        <w:t xml:space="preserve">the Council </w:t>
      </w:r>
      <w:r w:rsidR="00C85CDE" w:rsidRPr="00622C0E">
        <w:t>but could affect future pension contributions.</w:t>
      </w:r>
      <w:r w:rsidR="00622C0E" w:rsidRPr="00622C0E">
        <w:t xml:space="preserve">  </w:t>
      </w:r>
      <w:r w:rsidR="00AF5EEC" w:rsidRPr="00622C0E">
        <w:t xml:space="preserve">Further details of the </w:t>
      </w:r>
      <w:r w:rsidR="00622C0E">
        <w:t>pensions information</w:t>
      </w:r>
      <w:r w:rsidR="00AF5EEC" w:rsidRPr="00622C0E">
        <w:t xml:space="preserve"> held can be found in note</w:t>
      </w:r>
      <w:r w:rsidR="00622C0E" w:rsidRPr="00622C0E">
        <w:t>s 27d</w:t>
      </w:r>
      <w:r w:rsidR="00AF5EEC" w:rsidRPr="00622C0E">
        <w:t xml:space="preserve"> </w:t>
      </w:r>
      <w:r w:rsidR="00622C0E" w:rsidRPr="00622C0E">
        <w:t>and 40</w:t>
      </w:r>
      <w:r w:rsidR="00AF5EEC" w:rsidRPr="00622C0E">
        <w:t xml:space="preserve"> on pages </w:t>
      </w:r>
      <w:r w:rsidR="00622C0E" w:rsidRPr="00622C0E">
        <w:t>69 and 82 to 85 respectively</w:t>
      </w:r>
      <w:r w:rsidR="00AF5EEC" w:rsidRPr="00622C0E">
        <w:t>.</w:t>
      </w:r>
    </w:p>
    <w:p w:rsidR="0058051A" w:rsidRDefault="0058051A" w:rsidP="0058051A">
      <w:pPr>
        <w:ind w:left="426" w:right="43"/>
      </w:pPr>
    </w:p>
    <w:p w:rsidR="002D6242" w:rsidRDefault="002D6242" w:rsidP="00B73B72">
      <w:pPr>
        <w:numPr>
          <w:ilvl w:val="0"/>
          <w:numId w:val="22"/>
        </w:numPr>
        <w:ind w:left="426" w:right="43"/>
      </w:pPr>
      <w:r>
        <w:t xml:space="preserve">The net worth is </w:t>
      </w:r>
      <w:r w:rsidR="001E5126">
        <w:t>held in usable and unusable reserves:</w:t>
      </w:r>
    </w:p>
    <w:p w:rsidR="001E5126" w:rsidRDefault="001E5126" w:rsidP="00B73B72">
      <w:pPr>
        <w:ind w:left="426" w:right="43"/>
      </w:pPr>
    </w:p>
    <w:p w:rsidR="00D86A79" w:rsidRDefault="00622C0E" w:rsidP="00B73B72">
      <w:pPr>
        <w:ind w:left="426" w:right="43"/>
      </w:pPr>
      <w:r w:rsidRPr="00622C0E">
        <w:rPr>
          <w:noProof/>
          <w:lang w:eastAsia="en-GB"/>
        </w:rPr>
        <w:drawing>
          <wp:inline distT="0" distB="0" distL="0" distR="0">
            <wp:extent cx="5518150" cy="890024"/>
            <wp:effectExtent l="0" t="0" r="635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8150" cy="890024"/>
                    </a:xfrm>
                    <a:prstGeom prst="rect">
                      <a:avLst/>
                    </a:prstGeom>
                    <a:noFill/>
                    <a:ln>
                      <a:noFill/>
                    </a:ln>
                  </pic:spPr>
                </pic:pic>
              </a:graphicData>
            </a:graphic>
          </wp:inline>
        </w:drawing>
      </w:r>
    </w:p>
    <w:p w:rsidR="00B66B8B" w:rsidRDefault="00B66B8B" w:rsidP="00B73B72">
      <w:pPr>
        <w:ind w:left="426" w:right="43"/>
      </w:pPr>
    </w:p>
    <w:p w:rsidR="001E5126" w:rsidRPr="00CE2DAC" w:rsidRDefault="0058051A" w:rsidP="00B73B72">
      <w:pPr>
        <w:numPr>
          <w:ilvl w:val="0"/>
          <w:numId w:val="22"/>
        </w:numPr>
        <w:ind w:left="426" w:right="43"/>
      </w:pPr>
      <w:r w:rsidRPr="00CE2DAC">
        <w:t>Useable</w:t>
      </w:r>
      <w:r w:rsidR="001E5126" w:rsidRPr="00CE2DAC">
        <w:t xml:space="preserve"> reserves are detailed </w:t>
      </w:r>
      <w:r w:rsidR="001E5126" w:rsidRPr="00253E63">
        <w:t>above</w:t>
      </w:r>
      <w:r w:rsidRPr="00253E63">
        <w:t xml:space="preserve"> at paragraph </w:t>
      </w:r>
      <w:r w:rsidR="000250B4" w:rsidRPr="00253E63">
        <w:t>16</w:t>
      </w:r>
      <w:r w:rsidR="001E5126" w:rsidRPr="00253E63">
        <w:t xml:space="preserve"> and</w:t>
      </w:r>
      <w:r w:rsidR="001E5126" w:rsidRPr="00CE2DAC">
        <w:t xml:space="preserve"> more detail of unusable reserves can be found in note 27 on pages 6</w:t>
      </w:r>
      <w:r w:rsidR="00CE2DAC" w:rsidRPr="00CE2DAC">
        <w:t>7 to 71</w:t>
      </w:r>
      <w:r w:rsidR="001E5126" w:rsidRPr="00CE2DAC">
        <w:t>.</w:t>
      </w:r>
    </w:p>
    <w:p w:rsidR="001E5126" w:rsidRDefault="001E5126" w:rsidP="00B73B72">
      <w:pPr>
        <w:ind w:left="426" w:right="43"/>
      </w:pPr>
    </w:p>
    <w:p w:rsidR="001E5126" w:rsidRPr="0058051A" w:rsidRDefault="001E5126" w:rsidP="00692A49">
      <w:pPr>
        <w:pStyle w:val="Heading2"/>
      </w:pPr>
      <w:r w:rsidRPr="0058051A">
        <w:t>Group accounts</w:t>
      </w:r>
    </w:p>
    <w:p w:rsidR="001E5126" w:rsidRDefault="001E5126" w:rsidP="00B73B72">
      <w:pPr>
        <w:ind w:left="426" w:right="43"/>
      </w:pPr>
    </w:p>
    <w:p w:rsidR="001E5126" w:rsidRDefault="001E5126" w:rsidP="00B73B72">
      <w:pPr>
        <w:numPr>
          <w:ilvl w:val="0"/>
          <w:numId w:val="22"/>
        </w:numPr>
        <w:ind w:left="426" w:right="43"/>
      </w:pPr>
      <w:r>
        <w:t xml:space="preserve">The Council owned or had interests in </w:t>
      </w:r>
      <w:r w:rsidR="007115AA">
        <w:t>5</w:t>
      </w:r>
      <w:r>
        <w:t xml:space="preserve"> operational entities as at 31</w:t>
      </w:r>
      <w:r w:rsidRPr="0058051A">
        <w:rPr>
          <w:vertAlign w:val="superscript"/>
        </w:rPr>
        <w:t>st</w:t>
      </w:r>
      <w:r>
        <w:t xml:space="preserve"> March 20</w:t>
      </w:r>
      <w:r w:rsidR="000250B4">
        <w:t>20</w:t>
      </w:r>
      <w:r w:rsidR="0058051A">
        <w:t>:</w:t>
      </w:r>
    </w:p>
    <w:p w:rsidR="001E5126" w:rsidRDefault="00577DA8" w:rsidP="00577DA8">
      <w:pPr>
        <w:pStyle w:val="ListParagraph"/>
        <w:numPr>
          <w:ilvl w:val="0"/>
          <w:numId w:val="23"/>
        </w:numPr>
        <w:ind w:right="43"/>
      </w:pPr>
      <w:r>
        <w:t>Oxford City Housing Limited (OCHL)</w:t>
      </w:r>
    </w:p>
    <w:p w:rsidR="007115AA" w:rsidRDefault="007115AA" w:rsidP="00577DA8">
      <w:pPr>
        <w:pStyle w:val="ListParagraph"/>
        <w:numPr>
          <w:ilvl w:val="0"/>
          <w:numId w:val="23"/>
        </w:numPr>
        <w:ind w:right="43"/>
      </w:pPr>
      <w:r>
        <w:t>Oxford Direct Services Limited (ODSL)</w:t>
      </w:r>
    </w:p>
    <w:p w:rsidR="007115AA" w:rsidRDefault="007115AA" w:rsidP="00577DA8">
      <w:pPr>
        <w:pStyle w:val="ListParagraph"/>
        <w:numPr>
          <w:ilvl w:val="0"/>
          <w:numId w:val="23"/>
        </w:numPr>
        <w:ind w:right="43"/>
      </w:pPr>
      <w:r>
        <w:t>Oxford Direct Services Trading Limited (ODSTL)</w:t>
      </w:r>
    </w:p>
    <w:p w:rsidR="00577DA8" w:rsidRDefault="00577DA8" w:rsidP="00577DA8">
      <w:pPr>
        <w:pStyle w:val="ListParagraph"/>
        <w:numPr>
          <w:ilvl w:val="0"/>
          <w:numId w:val="23"/>
        </w:numPr>
        <w:ind w:right="43"/>
      </w:pPr>
      <w:r>
        <w:t>Oxford West End Development Limited (OxWED)</w:t>
      </w:r>
    </w:p>
    <w:p w:rsidR="00577DA8" w:rsidRDefault="00577DA8" w:rsidP="00577DA8">
      <w:pPr>
        <w:pStyle w:val="ListParagraph"/>
        <w:numPr>
          <w:ilvl w:val="0"/>
          <w:numId w:val="23"/>
        </w:numPr>
        <w:ind w:right="43"/>
      </w:pPr>
      <w:r>
        <w:t>Barton Oxford LLP</w:t>
      </w:r>
    </w:p>
    <w:p w:rsidR="007115AA" w:rsidRDefault="00EC0D23" w:rsidP="007115AA">
      <w:pPr>
        <w:ind w:left="426" w:right="43"/>
      </w:pPr>
      <w:r>
        <w:t>T</w:t>
      </w:r>
      <w:r w:rsidRPr="00EC0D23">
        <w:t xml:space="preserve">wo wholly owned companies became operational on 1st April 2018, Oxford Direct Services Limited and Oxford Direct Services Trading Limited.  These two companies </w:t>
      </w:r>
      <w:r>
        <w:t xml:space="preserve">are </w:t>
      </w:r>
      <w:r w:rsidRPr="00EC0D23">
        <w:t>incorporated into the Council’s Group accounts from 2018/19</w:t>
      </w:r>
      <w:r>
        <w:t>.</w:t>
      </w:r>
    </w:p>
    <w:p w:rsidR="00EC0D23" w:rsidRDefault="00EC0D23" w:rsidP="007115AA">
      <w:pPr>
        <w:ind w:left="426" w:right="43"/>
      </w:pPr>
    </w:p>
    <w:p w:rsidR="001E5126" w:rsidRDefault="001E5126" w:rsidP="00B73B72">
      <w:pPr>
        <w:ind w:left="426" w:right="43"/>
      </w:pPr>
      <w:r>
        <w:t>The Council’s share in these entities is shown below:</w:t>
      </w:r>
    </w:p>
    <w:p w:rsidR="00253E63" w:rsidRDefault="00253E63" w:rsidP="00B73B72">
      <w:pPr>
        <w:ind w:left="426" w:right="43"/>
      </w:pPr>
    </w:p>
    <w:p w:rsidR="00EC0D23" w:rsidRPr="00EC0D23" w:rsidRDefault="00EC0D23" w:rsidP="00B73B72">
      <w:pPr>
        <w:ind w:left="426" w:right="43"/>
        <w:rPr>
          <w:b/>
        </w:rPr>
      </w:pPr>
      <w:r w:rsidRPr="00EC0D23">
        <w:rPr>
          <w:b/>
        </w:rPr>
        <w:lastRenderedPageBreak/>
        <w:t>Wholly Owned</w:t>
      </w:r>
    </w:p>
    <w:p w:rsidR="00B66B8B" w:rsidRDefault="00B66B8B" w:rsidP="00B73B72">
      <w:pPr>
        <w:ind w:left="426" w:right="43"/>
      </w:pPr>
    </w:p>
    <w:p w:rsidR="00253E63" w:rsidRDefault="00253E63" w:rsidP="00B73B72">
      <w:pPr>
        <w:ind w:left="426" w:right="43"/>
      </w:pPr>
      <w:r w:rsidRPr="00253E63">
        <w:rPr>
          <w:noProof/>
          <w:lang w:eastAsia="en-GB"/>
        </w:rPr>
        <w:drawing>
          <wp:inline distT="0" distB="0" distL="0" distR="0">
            <wp:extent cx="5518150" cy="1905781"/>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8150" cy="1905781"/>
                    </a:xfrm>
                    <a:prstGeom prst="rect">
                      <a:avLst/>
                    </a:prstGeom>
                    <a:noFill/>
                    <a:ln>
                      <a:noFill/>
                    </a:ln>
                  </pic:spPr>
                </pic:pic>
              </a:graphicData>
            </a:graphic>
          </wp:inline>
        </w:drawing>
      </w:r>
    </w:p>
    <w:p w:rsidR="00253E63" w:rsidRDefault="00253E63" w:rsidP="00B73B72">
      <w:pPr>
        <w:ind w:left="426" w:right="43"/>
      </w:pPr>
    </w:p>
    <w:p w:rsidR="00EC0D23" w:rsidRPr="00CC7363" w:rsidRDefault="00CC7363" w:rsidP="00B73B72">
      <w:pPr>
        <w:ind w:left="426" w:right="43"/>
        <w:rPr>
          <w:b/>
        </w:rPr>
      </w:pPr>
      <w:r w:rsidRPr="00CC7363">
        <w:rPr>
          <w:b/>
        </w:rPr>
        <w:t>Joint Ventures</w:t>
      </w:r>
      <w:r>
        <w:rPr>
          <w:b/>
        </w:rPr>
        <w:t xml:space="preserve"> and Total</w:t>
      </w:r>
    </w:p>
    <w:p w:rsidR="00CC7363" w:rsidRDefault="00CC7363" w:rsidP="00B73B72">
      <w:pPr>
        <w:ind w:left="426" w:right="43"/>
      </w:pPr>
    </w:p>
    <w:p w:rsidR="00253E63" w:rsidRDefault="00253E63" w:rsidP="00B73B72">
      <w:pPr>
        <w:ind w:left="426" w:right="43"/>
      </w:pPr>
      <w:r w:rsidRPr="00253E63">
        <w:rPr>
          <w:noProof/>
          <w:lang w:eastAsia="en-GB"/>
        </w:rPr>
        <w:drawing>
          <wp:inline distT="0" distB="0" distL="0" distR="0">
            <wp:extent cx="5518150" cy="1905781"/>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8150" cy="1905781"/>
                    </a:xfrm>
                    <a:prstGeom prst="rect">
                      <a:avLst/>
                    </a:prstGeom>
                    <a:noFill/>
                    <a:ln>
                      <a:noFill/>
                    </a:ln>
                  </pic:spPr>
                </pic:pic>
              </a:graphicData>
            </a:graphic>
          </wp:inline>
        </w:drawing>
      </w:r>
    </w:p>
    <w:p w:rsidR="00253E63" w:rsidRDefault="00253E63" w:rsidP="00B73B72">
      <w:pPr>
        <w:ind w:left="426" w:right="43"/>
      </w:pPr>
    </w:p>
    <w:p w:rsidR="00EC0D23" w:rsidRDefault="00EC0D23" w:rsidP="00B73B72">
      <w:pPr>
        <w:ind w:left="426" w:right="43"/>
      </w:pPr>
    </w:p>
    <w:p w:rsidR="00B66B8B" w:rsidRPr="00CE2DAC" w:rsidRDefault="001E5126" w:rsidP="00B73B72">
      <w:pPr>
        <w:numPr>
          <w:ilvl w:val="0"/>
          <w:numId w:val="22"/>
        </w:numPr>
        <w:ind w:left="426" w:right="43"/>
      </w:pPr>
      <w:r w:rsidRPr="00CE2DAC">
        <w:t xml:space="preserve">The Council’s </w:t>
      </w:r>
      <w:r w:rsidRPr="00253E63">
        <w:t>share as at 31</w:t>
      </w:r>
      <w:r w:rsidRPr="00253E63">
        <w:rPr>
          <w:vertAlign w:val="superscript"/>
        </w:rPr>
        <w:t>st</w:t>
      </w:r>
      <w:r w:rsidRPr="00253E63">
        <w:t xml:space="preserve"> March 20</w:t>
      </w:r>
      <w:r w:rsidR="000250B4" w:rsidRPr="00253E63">
        <w:t>20</w:t>
      </w:r>
      <w:r w:rsidRPr="00253E63">
        <w:t xml:space="preserve"> was a net </w:t>
      </w:r>
      <w:r w:rsidR="00CE2DAC" w:rsidRPr="00253E63">
        <w:t>asset</w:t>
      </w:r>
      <w:r w:rsidRPr="00253E63">
        <w:t xml:space="preserve"> of £</w:t>
      </w:r>
      <w:r w:rsidR="00253E63" w:rsidRPr="00253E63">
        <w:t>1.424</w:t>
      </w:r>
      <w:r w:rsidRPr="00253E63">
        <w:t xml:space="preserve"> million compared to a net </w:t>
      </w:r>
      <w:r w:rsidR="00253E63" w:rsidRPr="00253E63">
        <w:t>asset</w:t>
      </w:r>
      <w:r w:rsidRPr="00253E63">
        <w:t xml:space="preserve"> of £</w:t>
      </w:r>
      <w:r w:rsidR="00253E63" w:rsidRPr="00253E63">
        <w:t>0.470</w:t>
      </w:r>
      <w:r w:rsidRPr="00253E63">
        <w:t xml:space="preserve"> million on 31</w:t>
      </w:r>
      <w:r w:rsidRPr="00253E63">
        <w:rPr>
          <w:vertAlign w:val="superscript"/>
        </w:rPr>
        <w:t>st</w:t>
      </w:r>
      <w:r w:rsidRPr="00253E63">
        <w:t xml:space="preserve"> March 201</w:t>
      </w:r>
      <w:r w:rsidR="000250B4" w:rsidRPr="00253E63">
        <w:t>9</w:t>
      </w:r>
      <w:r w:rsidRPr="00253E63">
        <w:t xml:space="preserve">.  </w:t>
      </w:r>
      <w:r w:rsidR="00CE2DAC" w:rsidRPr="00253E63">
        <w:t>K</w:t>
      </w:r>
      <w:r w:rsidR="00577DA8" w:rsidRPr="00253E63">
        <w:t>ey element</w:t>
      </w:r>
      <w:r w:rsidR="00CE2DAC" w:rsidRPr="00253E63">
        <w:t>s</w:t>
      </w:r>
      <w:r w:rsidRPr="00253E63">
        <w:t xml:space="preserve"> of this net </w:t>
      </w:r>
      <w:r w:rsidR="00CE2DAC" w:rsidRPr="00253E63">
        <w:t>position</w:t>
      </w:r>
      <w:r w:rsidRPr="00253E63">
        <w:t xml:space="preserve"> relates to interest </w:t>
      </w:r>
      <w:r w:rsidR="00577DA8" w:rsidRPr="00253E63">
        <w:t>owing to the Council</w:t>
      </w:r>
      <w:r w:rsidR="00577DA8" w:rsidRPr="00CE2DAC">
        <w:t xml:space="preserve"> on loans</w:t>
      </w:r>
      <w:r w:rsidR="00577DA8">
        <w:t xml:space="preserve"> that the Council has made to the entities</w:t>
      </w:r>
      <w:r w:rsidR="00CE2DAC">
        <w:t xml:space="preserve"> and the dividends from the Oxford Direct Services Companies which </w:t>
      </w:r>
      <w:r w:rsidR="000250B4">
        <w:t>were paid for the financial year ending</w:t>
      </w:r>
      <w:r w:rsidR="00CE2DAC">
        <w:t xml:space="preserve"> 31</w:t>
      </w:r>
      <w:r w:rsidR="00CE2DAC" w:rsidRPr="00CE2DAC">
        <w:rPr>
          <w:vertAlign w:val="superscript"/>
        </w:rPr>
        <w:t>st</w:t>
      </w:r>
      <w:r w:rsidR="00CE2DAC">
        <w:t xml:space="preserve"> March 2019</w:t>
      </w:r>
      <w:r w:rsidR="00577DA8">
        <w:t xml:space="preserve">.  </w:t>
      </w:r>
      <w:r w:rsidR="000250B4">
        <w:t>No dividends have been declared or paid in respect of the financial year ending 31</w:t>
      </w:r>
      <w:r w:rsidR="000250B4" w:rsidRPr="000250B4">
        <w:rPr>
          <w:vertAlign w:val="superscript"/>
        </w:rPr>
        <w:t>st</w:t>
      </w:r>
      <w:r w:rsidR="000250B4">
        <w:t xml:space="preserve"> March 2020.  </w:t>
      </w:r>
      <w:r>
        <w:t xml:space="preserve">More detail can be found on </w:t>
      </w:r>
      <w:r w:rsidRPr="004F47DE">
        <w:t xml:space="preserve">pages </w:t>
      </w:r>
      <w:r w:rsidR="00CE2DAC" w:rsidRPr="004F47DE">
        <w:t>9</w:t>
      </w:r>
      <w:r w:rsidR="004F47DE" w:rsidRPr="004F47DE">
        <w:t>9</w:t>
      </w:r>
      <w:r w:rsidR="00CE2DAC" w:rsidRPr="004F47DE">
        <w:t xml:space="preserve"> to 12</w:t>
      </w:r>
      <w:r w:rsidR="004F47DE" w:rsidRPr="004F47DE">
        <w:t>6</w:t>
      </w:r>
      <w:r w:rsidR="007115AA" w:rsidRPr="00CE2DAC">
        <w:t xml:space="preserve"> of the Statement of Accounts</w:t>
      </w:r>
      <w:r w:rsidRPr="00CE2DAC">
        <w:t>.</w:t>
      </w:r>
    </w:p>
    <w:p w:rsidR="0058051A" w:rsidRDefault="0058051A" w:rsidP="00B73B72">
      <w:pPr>
        <w:ind w:left="426" w:right="43"/>
      </w:pPr>
    </w:p>
    <w:p w:rsidR="00274FD7" w:rsidRDefault="00274FD7" w:rsidP="00692A49">
      <w:pPr>
        <w:pStyle w:val="Heading1"/>
      </w:pPr>
      <w:r w:rsidRPr="002D3151">
        <w:t>Letter of Representation</w:t>
      </w:r>
    </w:p>
    <w:p w:rsidR="00274FD7" w:rsidRDefault="00274FD7" w:rsidP="00577DA8">
      <w:pPr>
        <w:numPr>
          <w:ilvl w:val="0"/>
          <w:numId w:val="22"/>
        </w:numPr>
        <w:ind w:right="43"/>
      </w:pPr>
      <w:r w:rsidRPr="00274FD7">
        <w:t>Attached at Appendix 2 is a draft Letter of Representation which the Committee is asked to approve. This is a letter from the Council’s Section 151 Officer setting out the processes and procedures the Council adopts to ensure that it is in compliance with its statutory requirements and that it has a sufficiently robust control framework to prevent and detect fraud and irregularities. Ernst and Young require this letter before they issue their opinion.</w:t>
      </w:r>
    </w:p>
    <w:p w:rsidR="00B73B72" w:rsidRDefault="00B73B72" w:rsidP="00B73B72">
      <w:pPr>
        <w:ind w:left="426" w:right="43"/>
      </w:pPr>
    </w:p>
    <w:p w:rsidR="00253E63" w:rsidRDefault="00253E63">
      <w:pPr>
        <w:rPr>
          <w:b/>
        </w:rPr>
      </w:pPr>
      <w:r>
        <w:rPr>
          <w:b/>
        </w:rPr>
        <w:br w:type="page"/>
      </w:r>
    </w:p>
    <w:p w:rsidR="00EE716F" w:rsidRDefault="00EE716F" w:rsidP="00692A49">
      <w:pPr>
        <w:pStyle w:val="Heading1"/>
      </w:pPr>
      <w:r w:rsidRPr="002D3151">
        <w:lastRenderedPageBreak/>
        <w:t>Financial Implications</w:t>
      </w:r>
    </w:p>
    <w:p w:rsidR="008D7861" w:rsidRPr="008D7861" w:rsidRDefault="008D7861" w:rsidP="008D7861">
      <w:pPr>
        <w:ind w:right="43"/>
      </w:pPr>
    </w:p>
    <w:p w:rsidR="00EE716F" w:rsidRDefault="00EE716F" w:rsidP="00577DA8">
      <w:pPr>
        <w:numPr>
          <w:ilvl w:val="0"/>
          <w:numId w:val="22"/>
        </w:numPr>
        <w:ind w:right="43"/>
      </w:pPr>
      <w:r w:rsidRPr="00EE716F">
        <w:t>These are covered within the main body of the report.</w:t>
      </w:r>
    </w:p>
    <w:p w:rsidR="00EE716F" w:rsidRDefault="00EE716F" w:rsidP="002D3151">
      <w:pPr>
        <w:ind w:left="426" w:right="43"/>
      </w:pPr>
    </w:p>
    <w:p w:rsidR="00EE716F" w:rsidRDefault="00EE716F" w:rsidP="00692A49">
      <w:pPr>
        <w:pStyle w:val="Heading1"/>
      </w:pPr>
      <w:r w:rsidRPr="002D3151">
        <w:t>Legal Implications</w:t>
      </w:r>
    </w:p>
    <w:p w:rsidR="008D7861" w:rsidRPr="008D7861" w:rsidRDefault="008D7861" w:rsidP="00EE716F">
      <w:pPr>
        <w:ind w:right="43"/>
      </w:pPr>
    </w:p>
    <w:p w:rsidR="00EE716F" w:rsidRDefault="0058051A" w:rsidP="0058051A">
      <w:pPr>
        <w:numPr>
          <w:ilvl w:val="0"/>
          <w:numId w:val="22"/>
        </w:numPr>
        <w:ind w:right="43"/>
      </w:pPr>
      <w:r>
        <w:t xml:space="preserve">In accordance with the </w:t>
      </w:r>
      <w:r w:rsidRPr="0058051A">
        <w:t>Accounts and Audit Regulations 2015</w:t>
      </w:r>
      <w:r w:rsidR="000250B4">
        <w:t xml:space="preserve"> (as amended),</w:t>
      </w:r>
      <w:r>
        <w:t xml:space="preserve"> the accounts must be audited, approved and</w:t>
      </w:r>
      <w:r w:rsidRPr="0058051A">
        <w:t xml:space="preserve"> </w:t>
      </w:r>
      <w:r>
        <w:t>published by 3</w:t>
      </w:r>
      <w:r w:rsidR="000250B4">
        <w:t>0</w:t>
      </w:r>
      <w:r w:rsidR="000250B4" w:rsidRPr="000250B4">
        <w:rPr>
          <w:vertAlign w:val="superscript"/>
        </w:rPr>
        <w:t>th</w:t>
      </w:r>
      <w:r w:rsidR="000250B4">
        <w:t xml:space="preserve"> November 2020</w:t>
      </w:r>
      <w:r w:rsidR="00EE716F" w:rsidRPr="00EE716F">
        <w:t>.</w:t>
      </w:r>
    </w:p>
    <w:p w:rsidR="00EE716F" w:rsidRDefault="00EE716F" w:rsidP="002D3151">
      <w:pPr>
        <w:ind w:left="426" w:right="43"/>
      </w:pPr>
    </w:p>
    <w:p w:rsidR="00EE716F" w:rsidRDefault="00EE716F" w:rsidP="00692A49">
      <w:pPr>
        <w:pStyle w:val="Heading1"/>
      </w:pPr>
      <w:r>
        <w:t>Risk</w:t>
      </w:r>
      <w:r w:rsidRPr="00722A59">
        <w:t xml:space="preserve"> Implications</w:t>
      </w:r>
    </w:p>
    <w:p w:rsidR="008D7861" w:rsidRPr="008D7861" w:rsidRDefault="008D7861" w:rsidP="00EE716F">
      <w:pPr>
        <w:ind w:right="43"/>
      </w:pPr>
    </w:p>
    <w:p w:rsidR="00EE716F" w:rsidRDefault="00EE716F" w:rsidP="00577DA8">
      <w:pPr>
        <w:numPr>
          <w:ilvl w:val="0"/>
          <w:numId w:val="22"/>
        </w:numPr>
        <w:ind w:right="43"/>
      </w:pPr>
      <w:r w:rsidRPr="00EE716F">
        <w:t>There are no risks associated with the recommendations in this report</w:t>
      </w:r>
      <w:r w:rsidR="0058051A">
        <w:t>.</w:t>
      </w:r>
    </w:p>
    <w:p w:rsidR="00EE716F" w:rsidRDefault="00EE716F" w:rsidP="002D3151">
      <w:pPr>
        <w:ind w:left="426" w:right="43"/>
      </w:pPr>
    </w:p>
    <w:p w:rsidR="00EE716F" w:rsidRDefault="00EE716F" w:rsidP="00692A49">
      <w:pPr>
        <w:pStyle w:val="Heading1"/>
      </w:pPr>
      <w:r w:rsidRPr="002D3151">
        <w:t>Communication</w:t>
      </w:r>
    </w:p>
    <w:p w:rsidR="008D7861" w:rsidRPr="008D7861" w:rsidRDefault="008D7861" w:rsidP="008D7861">
      <w:pPr>
        <w:ind w:right="43"/>
      </w:pPr>
    </w:p>
    <w:p w:rsidR="00B73B72" w:rsidRPr="00370087" w:rsidRDefault="00B73B72" w:rsidP="00577DA8">
      <w:pPr>
        <w:numPr>
          <w:ilvl w:val="0"/>
          <w:numId w:val="22"/>
        </w:numPr>
        <w:ind w:right="43"/>
      </w:pPr>
      <w:r w:rsidRPr="00370087">
        <w:t xml:space="preserve">The Council’s accounts </w:t>
      </w:r>
      <w:r w:rsidR="000250B4" w:rsidRPr="00370087">
        <w:t>a</w:t>
      </w:r>
      <w:r w:rsidR="0058051A" w:rsidRPr="00370087">
        <w:t xml:space="preserve">re </w:t>
      </w:r>
      <w:r w:rsidRPr="00370087">
        <w:t>subject to external audit by Ernst &amp; Young LLP</w:t>
      </w:r>
      <w:r w:rsidR="0058051A" w:rsidRPr="00370087">
        <w:t xml:space="preserve"> and within the period of audit, f</w:t>
      </w:r>
      <w:r w:rsidRPr="00370087">
        <w:t xml:space="preserve">rom </w:t>
      </w:r>
      <w:r w:rsidR="00370087" w:rsidRPr="00370087">
        <w:t>Thursday 18</w:t>
      </w:r>
      <w:r w:rsidR="00370087" w:rsidRPr="00370087">
        <w:rPr>
          <w:vertAlign w:val="superscript"/>
        </w:rPr>
        <w:t>th</w:t>
      </w:r>
      <w:r w:rsidR="00370087" w:rsidRPr="00370087">
        <w:t xml:space="preserve"> </w:t>
      </w:r>
      <w:r w:rsidR="00EC0D23" w:rsidRPr="00370087">
        <w:t>J</w:t>
      </w:r>
      <w:r w:rsidRPr="00370087">
        <w:t>une 20</w:t>
      </w:r>
      <w:r w:rsidR="00370087" w:rsidRPr="00370087">
        <w:t>20</w:t>
      </w:r>
      <w:r w:rsidRPr="00370087">
        <w:t xml:space="preserve"> to </w:t>
      </w:r>
      <w:r w:rsidR="00370087" w:rsidRPr="00370087">
        <w:t>Wednesday 29</w:t>
      </w:r>
      <w:r w:rsidR="00370087" w:rsidRPr="00370087">
        <w:rPr>
          <w:vertAlign w:val="superscript"/>
        </w:rPr>
        <w:t>th</w:t>
      </w:r>
      <w:r w:rsidR="00370087" w:rsidRPr="00370087">
        <w:t xml:space="preserve"> </w:t>
      </w:r>
      <w:r w:rsidRPr="00370087">
        <w:t>July 20</w:t>
      </w:r>
      <w:r w:rsidR="00370087" w:rsidRPr="00370087">
        <w:t>20</w:t>
      </w:r>
      <w:r w:rsidRPr="00370087">
        <w:t xml:space="preserve"> between 9.30am and</w:t>
      </w:r>
      <w:r w:rsidR="0058051A" w:rsidRPr="00370087">
        <w:t xml:space="preserve"> </w:t>
      </w:r>
      <w:r w:rsidRPr="00370087">
        <w:t xml:space="preserve">4.30pm any person </w:t>
      </w:r>
      <w:r w:rsidR="00A97F1B">
        <w:t>could</w:t>
      </w:r>
      <w:r w:rsidRPr="00370087">
        <w:t xml:space="preserve"> inspect the accounts of the Council for the year</w:t>
      </w:r>
      <w:r w:rsidR="0058051A" w:rsidRPr="00370087">
        <w:t xml:space="preserve"> </w:t>
      </w:r>
      <w:r w:rsidRPr="00370087">
        <w:t>ended 31</w:t>
      </w:r>
      <w:r w:rsidRPr="00370087">
        <w:rPr>
          <w:vertAlign w:val="superscript"/>
        </w:rPr>
        <w:t>st</w:t>
      </w:r>
      <w:r w:rsidR="00EC0D23" w:rsidRPr="00370087">
        <w:t xml:space="preserve"> </w:t>
      </w:r>
      <w:r w:rsidRPr="00370087">
        <w:t>March 20</w:t>
      </w:r>
      <w:r w:rsidR="00370087" w:rsidRPr="00370087">
        <w:t>20</w:t>
      </w:r>
      <w:r w:rsidRPr="00370087">
        <w:t xml:space="preserve"> and certain related documents (comprising books,</w:t>
      </w:r>
      <w:r w:rsidR="0058051A" w:rsidRPr="00370087">
        <w:t xml:space="preserve"> </w:t>
      </w:r>
      <w:r w:rsidRPr="00370087">
        <w:t>deeds, contracts</w:t>
      </w:r>
      <w:r w:rsidR="0058051A" w:rsidRPr="00370087">
        <w:t xml:space="preserve">, bills, vouchers and receipts).  </w:t>
      </w:r>
      <w:r w:rsidRPr="00370087">
        <w:t xml:space="preserve">They </w:t>
      </w:r>
      <w:r w:rsidR="00A97F1B">
        <w:t>could</w:t>
      </w:r>
      <w:r w:rsidRPr="00370087">
        <w:t xml:space="preserve"> also make copies of the accounts and documents.</w:t>
      </w:r>
    </w:p>
    <w:p w:rsidR="0058051A" w:rsidRDefault="0058051A" w:rsidP="0058051A">
      <w:pPr>
        <w:ind w:left="360" w:right="43"/>
      </w:pPr>
    </w:p>
    <w:p w:rsidR="00B73B72" w:rsidRDefault="00B73B72" w:rsidP="00577DA8">
      <w:pPr>
        <w:numPr>
          <w:ilvl w:val="0"/>
          <w:numId w:val="22"/>
        </w:numPr>
        <w:ind w:right="43"/>
      </w:pPr>
      <w:r>
        <w:t xml:space="preserve">During the </w:t>
      </w:r>
      <w:r w:rsidR="0058051A">
        <w:t xml:space="preserve">same </w:t>
      </w:r>
      <w:r>
        <w:t xml:space="preserve">period a local government elector for the area of the </w:t>
      </w:r>
      <w:r w:rsidR="0058051A">
        <w:t>C</w:t>
      </w:r>
      <w:r>
        <w:t>ouncil</w:t>
      </w:r>
      <w:r w:rsidR="0058051A">
        <w:t xml:space="preserve"> </w:t>
      </w:r>
      <w:r>
        <w:t xml:space="preserve">or their representative </w:t>
      </w:r>
      <w:r w:rsidR="00A97F1B">
        <w:t>could</w:t>
      </w:r>
      <w:r>
        <w:t xml:space="preserve"> make an appointment to ask the auditor questions</w:t>
      </w:r>
      <w:r w:rsidR="0058051A">
        <w:t xml:space="preserve"> </w:t>
      </w:r>
      <w:r>
        <w:t>about the accounts.</w:t>
      </w:r>
      <w:r w:rsidR="0058051A">
        <w:t xml:space="preserve">  In addition they </w:t>
      </w:r>
      <w:r w:rsidR="00A97F1B">
        <w:t>could</w:t>
      </w:r>
      <w:bookmarkStart w:id="0" w:name="_GoBack"/>
      <w:bookmarkEnd w:id="0"/>
      <w:r>
        <w:t xml:space="preserve"> object to the Council’s accounts</w:t>
      </w:r>
      <w:r w:rsidR="008D7861">
        <w:t>,</w:t>
      </w:r>
      <w:r>
        <w:t xml:space="preserve"> asking that the auditor</w:t>
      </w:r>
      <w:r w:rsidR="008D7861">
        <w:t xml:space="preserve"> </w:t>
      </w:r>
      <w:r>
        <w:t>issue a report in the public interest or which is contrary to law (under section</w:t>
      </w:r>
      <w:r w:rsidR="008D7861">
        <w:t xml:space="preserve"> </w:t>
      </w:r>
      <w:r>
        <w:t>28 of the Local Audit and Accountability Act 2014). Written notice of a</w:t>
      </w:r>
      <w:r w:rsidR="008D7861">
        <w:t xml:space="preserve"> </w:t>
      </w:r>
      <w:r>
        <w:t>proposed objection and the grounds on which it is made must be sent to the</w:t>
      </w:r>
      <w:r w:rsidR="008D7861">
        <w:t xml:space="preserve"> </w:t>
      </w:r>
      <w:r>
        <w:t xml:space="preserve">auditor at the address </w:t>
      </w:r>
      <w:r w:rsidR="008D7861">
        <w:t>provided on the Council’s website</w:t>
      </w:r>
      <w:r>
        <w:t>.</w:t>
      </w:r>
    </w:p>
    <w:p w:rsidR="008D7861" w:rsidRDefault="008D7861" w:rsidP="008D7861">
      <w:pPr>
        <w:ind w:left="360" w:right="43"/>
      </w:pPr>
    </w:p>
    <w:p w:rsidR="008D7861" w:rsidRDefault="008D7861" w:rsidP="00577DA8">
      <w:pPr>
        <w:numPr>
          <w:ilvl w:val="0"/>
          <w:numId w:val="22"/>
        </w:numPr>
        <w:ind w:right="43"/>
      </w:pPr>
      <w:r>
        <w:t>There were no objections lodged.</w:t>
      </w:r>
    </w:p>
    <w:p w:rsidR="00B73B72" w:rsidRDefault="00B73B72" w:rsidP="00B73B72">
      <w:pPr>
        <w:ind w:left="360" w:right="43"/>
      </w:pPr>
    </w:p>
    <w:p w:rsidR="00EE716F" w:rsidRDefault="00EE716F" w:rsidP="00577DA8">
      <w:pPr>
        <w:numPr>
          <w:ilvl w:val="0"/>
          <w:numId w:val="22"/>
        </w:numPr>
        <w:ind w:right="43"/>
      </w:pPr>
      <w:r>
        <w:t>The Audited Statement of Accounts for 201</w:t>
      </w:r>
      <w:r w:rsidR="007B52E2">
        <w:t>9</w:t>
      </w:r>
      <w:r>
        <w:t>/</w:t>
      </w:r>
      <w:r w:rsidR="007B52E2">
        <w:t>20</w:t>
      </w:r>
      <w:r>
        <w:t xml:space="preserve"> will be published on the Council’s website </w:t>
      </w:r>
      <w:r w:rsidR="008D7861">
        <w:t xml:space="preserve">after approval </w:t>
      </w:r>
      <w:r>
        <w:t>along with a notice confirming the conclusion of the audit</w:t>
      </w:r>
      <w:r w:rsidR="008D7861">
        <w:t xml:space="preserve"> and alongside the Annual Governance Statement for the year</w:t>
      </w:r>
      <w:r>
        <w:t>.</w:t>
      </w:r>
    </w:p>
    <w:p w:rsidR="00692A49" w:rsidRDefault="00692A49" w:rsidP="00692A49">
      <w:pPr>
        <w:pStyle w:val="ListParagraph"/>
      </w:pPr>
    </w:p>
    <w:p w:rsidR="00692A49" w:rsidRDefault="00692A49" w:rsidP="00692A49">
      <w:pPr>
        <w:ind w:left="360" w:right="43"/>
      </w:pPr>
    </w:p>
    <w:p w:rsidR="005C2AE5" w:rsidRDefault="005C2AE5" w:rsidP="00547E28">
      <w:pPr>
        <w:ind w:right="43"/>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766105" w:rsidTr="00195171">
        <w:trPr>
          <w:trHeight w:val="270"/>
        </w:trPr>
        <w:tc>
          <w:tcPr>
            <w:tcW w:w="9664" w:type="dxa"/>
          </w:tcPr>
          <w:p w:rsidR="00766105" w:rsidRDefault="00766105" w:rsidP="00195171">
            <w:pPr>
              <w:tabs>
                <w:tab w:val="left" w:pos="720"/>
                <w:tab w:val="left" w:pos="1440"/>
                <w:tab w:val="left" w:pos="2160"/>
                <w:tab w:val="left" w:pos="2880"/>
              </w:tabs>
            </w:pPr>
            <w:r>
              <w:rPr>
                <w:b/>
                <w:bCs/>
              </w:rPr>
              <w:t>Name and contact details of author:-</w:t>
            </w:r>
          </w:p>
        </w:tc>
      </w:tr>
      <w:tr w:rsidR="00766105" w:rsidTr="00195171">
        <w:trPr>
          <w:trHeight w:val="285"/>
        </w:trPr>
        <w:tc>
          <w:tcPr>
            <w:tcW w:w="9664" w:type="dxa"/>
          </w:tcPr>
          <w:p w:rsidR="00766105" w:rsidRDefault="00766105" w:rsidP="00EE716F">
            <w:pPr>
              <w:tabs>
                <w:tab w:val="left" w:pos="720"/>
                <w:tab w:val="left" w:pos="1440"/>
                <w:tab w:val="left" w:pos="2160"/>
                <w:tab w:val="left" w:pos="2880"/>
              </w:tabs>
            </w:pPr>
            <w:r>
              <w:t xml:space="preserve">Name:  </w:t>
            </w:r>
            <w:r w:rsidR="00EE716F">
              <w:t>Bill Lewis</w:t>
            </w:r>
          </w:p>
        </w:tc>
      </w:tr>
      <w:tr w:rsidR="00766105" w:rsidTr="00195171">
        <w:trPr>
          <w:trHeight w:val="270"/>
        </w:trPr>
        <w:tc>
          <w:tcPr>
            <w:tcW w:w="9664" w:type="dxa"/>
          </w:tcPr>
          <w:p w:rsidR="00766105" w:rsidRDefault="00766105" w:rsidP="00EE716F">
            <w:pPr>
              <w:tabs>
                <w:tab w:val="left" w:pos="720"/>
                <w:tab w:val="left" w:pos="1440"/>
                <w:tab w:val="left" w:pos="2160"/>
                <w:tab w:val="left" w:pos="2880"/>
              </w:tabs>
            </w:pPr>
            <w:r>
              <w:t>Job title:  Financ</w:t>
            </w:r>
            <w:r w:rsidR="00B3340C">
              <w:t xml:space="preserve">ial </w:t>
            </w:r>
            <w:r w:rsidR="00EE716F">
              <w:t>Accounting Manager</w:t>
            </w:r>
          </w:p>
        </w:tc>
      </w:tr>
      <w:tr w:rsidR="00766105" w:rsidTr="00195171">
        <w:trPr>
          <w:trHeight w:val="270"/>
        </w:trPr>
        <w:tc>
          <w:tcPr>
            <w:tcW w:w="9664" w:type="dxa"/>
          </w:tcPr>
          <w:p w:rsidR="00766105" w:rsidRDefault="00766105" w:rsidP="00B3340C">
            <w:pPr>
              <w:tabs>
                <w:tab w:val="left" w:pos="720"/>
                <w:tab w:val="left" w:pos="1440"/>
                <w:tab w:val="left" w:pos="2160"/>
                <w:tab w:val="left" w:pos="2880"/>
              </w:tabs>
            </w:pPr>
            <w:r>
              <w:t>Service Area / Department:  Financ</w:t>
            </w:r>
            <w:r w:rsidR="00B3340C">
              <w:t>ial Services</w:t>
            </w:r>
            <w:r>
              <w:t xml:space="preserve">, </w:t>
            </w:r>
          </w:p>
        </w:tc>
      </w:tr>
      <w:tr w:rsidR="00766105" w:rsidRPr="00B7705C" w:rsidTr="00195171">
        <w:trPr>
          <w:trHeight w:val="570"/>
        </w:trPr>
        <w:tc>
          <w:tcPr>
            <w:tcW w:w="9664" w:type="dxa"/>
          </w:tcPr>
          <w:p w:rsidR="00766105" w:rsidRPr="00B7705C" w:rsidRDefault="00766105" w:rsidP="00EE716F">
            <w:pPr>
              <w:tabs>
                <w:tab w:val="left" w:pos="720"/>
                <w:tab w:val="left" w:pos="1440"/>
                <w:tab w:val="left" w:pos="2160"/>
                <w:tab w:val="left" w:pos="2880"/>
              </w:tabs>
              <w:rPr>
                <w:color w:val="0000FF"/>
                <w:u w:val="single"/>
                <w:lang w:val="de-DE"/>
              </w:rPr>
            </w:pPr>
            <w:r w:rsidRPr="00B7705C">
              <w:rPr>
                <w:lang w:val="de-DE"/>
              </w:rPr>
              <w:t xml:space="preserve">Tel:  01865 </w:t>
            </w:r>
            <w:r w:rsidR="00EE716F" w:rsidRPr="00B7705C">
              <w:rPr>
                <w:lang w:val="de-DE"/>
              </w:rPr>
              <w:t>252</w:t>
            </w:r>
            <w:r w:rsidR="00EE716F">
              <w:rPr>
                <w:lang w:val="de-DE"/>
              </w:rPr>
              <w:t>607</w:t>
            </w:r>
            <w:r w:rsidR="00EE716F" w:rsidRPr="00B7705C">
              <w:rPr>
                <w:lang w:val="de-DE"/>
              </w:rPr>
              <w:t xml:space="preserve">  </w:t>
            </w:r>
            <w:r w:rsidRPr="00B7705C">
              <w:rPr>
                <w:lang w:val="de-DE"/>
              </w:rPr>
              <w:t xml:space="preserve">e-mail:  </w:t>
            </w:r>
            <w:hyperlink r:id="rId14" w:history="1">
              <w:r w:rsidR="00EE716F">
                <w:rPr>
                  <w:rStyle w:val="Hyperlink"/>
                  <w:lang w:val="de-DE"/>
                </w:rPr>
                <w:t>blewis@oxford.gov.uk</w:t>
              </w:r>
            </w:hyperlink>
          </w:p>
        </w:tc>
      </w:tr>
    </w:tbl>
    <w:p w:rsidR="00766105" w:rsidRPr="00B7705C" w:rsidRDefault="00766105" w:rsidP="00766105">
      <w:pPr>
        <w:rPr>
          <w:rFonts w:cs="Arial"/>
          <w:b/>
          <w:bCs/>
          <w:sz w:val="20"/>
          <w:lang w:val="de-DE"/>
        </w:rPr>
      </w:pPr>
    </w:p>
    <w:p w:rsidR="00840506" w:rsidRDefault="00840506" w:rsidP="00547E28">
      <w:pPr>
        <w:ind w:right="43"/>
      </w:pPr>
    </w:p>
    <w:p w:rsidR="00840506" w:rsidRDefault="00840506" w:rsidP="00547E28">
      <w:pPr>
        <w:ind w:right="43"/>
        <w:rPr>
          <w:b/>
          <w:bCs/>
        </w:rPr>
      </w:pPr>
      <w:r>
        <w:rPr>
          <w:b/>
          <w:bCs/>
        </w:rPr>
        <w:t xml:space="preserve">Background papers: </w:t>
      </w:r>
      <w:r w:rsidR="00766105">
        <w:rPr>
          <w:b/>
          <w:bCs/>
        </w:rPr>
        <w:t>None</w:t>
      </w:r>
    </w:p>
    <w:sectPr w:rsidR="00840506" w:rsidSect="00692A49">
      <w:footerReference w:type="default" r:id="rId15"/>
      <w:pgSz w:w="11906" w:h="16838"/>
      <w:pgMar w:top="1418" w:right="1304" w:bottom="1418" w:left="130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881" w:rsidRDefault="00B65881">
      <w:r>
        <w:separator/>
      </w:r>
    </w:p>
  </w:endnote>
  <w:endnote w:type="continuationSeparator" w:id="0">
    <w:p w:rsidR="00B65881" w:rsidRDefault="00B6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506" w:rsidRDefault="00840506">
    <w:pPr>
      <w:rPr>
        <w:sz w:val="20"/>
      </w:rPr>
    </w:pPr>
  </w:p>
  <w:p w:rsidR="00840506" w:rsidRDefault="00840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881" w:rsidRDefault="00B65881">
      <w:r>
        <w:separator/>
      </w:r>
    </w:p>
  </w:footnote>
  <w:footnote w:type="continuationSeparator" w:id="0">
    <w:p w:rsidR="00B65881" w:rsidRDefault="00B65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E4E"/>
    <w:multiLevelType w:val="hybridMultilevel"/>
    <w:tmpl w:val="AEB49BAA"/>
    <w:lvl w:ilvl="0" w:tplc="38C07FEA">
      <w:start w:val="7"/>
      <w:numFmt w:val="decimal"/>
      <w:lvlText w:val="%1"/>
      <w:lvlJc w:val="left"/>
      <w:pPr>
        <w:ind w:left="-207" w:hanging="360"/>
      </w:pPr>
      <w:rPr>
        <w:rFonts w:cs="Arial" w:hint="default"/>
        <w:b w:val="0"/>
        <w:color w:val="000000"/>
        <w:u w:val="none"/>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64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187B77"/>
    <w:multiLevelType w:val="hybridMultilevel"/>
    <w:tmpl w:val="9C08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2D79B1"/>
    <w:multiLevelType w:val="hybridMultilevel"/>
    <w:tmpl w:val="591ABA54"/>
    <w:lvl w:ilvl="0" w:tplc="C2CC92EC">
      <w:start w:val="1"/>
      <w:numFmt w:val="decimal"/>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F259F4"/>
    <w:multiLevelType w:val="hybridMultilevel"/>
    <w:tmpl w:val="61CA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57368E"/>
    <w:multiLevelType w:val="hybridMultilevel"/>
    <w:tmpl w:val="680E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457705"/>
    <w:multiLevelType w:val="hybridMultilevel"/>
    <w:tmpl w:val="1DE08A10"/>
    <w:lvl w:ilvl="0" w:tplc="0809000F">
      <w:start w:val="1"/>
      <w:numFmt w:val="decimal"/>
      <w:lvlText w:val="%1."/>
      <w:lvlJc w:val="left"/>
      <w:pPr>
        <w:ind w:left="360" w:hanging="360"/>
      </w:pPr>
      <w:rPr>
        <w:rFonts w:hint="default"/>
      </w:rPr>
    </w:lvl>
    <w:lvl w:ilvl="1" w:tplc="D8D03F9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CD453AD"/>
    <w:multiLevelType w:val="hybridMultilevel"/>
    <w:tmpl w:val="BFC6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A3D7B"/>
    <w:multiLevelType w:val="hybridMultilevel"/>
    <w:tmpl w:val="4862611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51541BB"/>
    <w:multiLevelType w:val="hybridMultilevel"/>
    <w:tmpl w:val="3926E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FC4FFC"/>
    <w:multiLevelType w:val="hybridMultilevel"/>
    <w:tmpl w:val="7B38B052"/>
    <w:lvl w:ilvl="0" w:tplc="744CFF6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E6243"/>
    <w:multiLevelType w:val="hybridMultilevel"/>
    <w:tmpl w:val="4D9486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CB7D3F"/>
    <w:multiLevelType w:val="hybridMultilevel"/>
    <w:tmpl w:val="47144C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8FE77A8"/>
    <w:multiLevelType w:val="hybridMultilevel"/>
    <w:tmpl w:val="2D4ABDC8"/>
    <w:lvl w:ilvl="0" w:tplc="44862956">
      <w:start w:val="1"/>
      <w:numFmt w:val="bullet"/>
      <w:lvlText w:val=""/>
      <w:lvlJc w:val="left"/>
      <w:pPr>
        <w:ind w:left="1080" w:hanging="360"/>
      </w:pPr>
      <w:rPr>
        <w:rFonts w:ascii="Symbol" w:eastAsia="Times New Roman" w:hAnsi="Symbol"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E7237D1"/>
    <w:multiLevelType w:val="hybridMultilevel"/>
    <w:tmpl w:val="FE906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AAE7C65"/>
    <w:multiLevelType w:val="hybridMultilevel"/>
    <w:tmpl w:val="D07CB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146AB9"/>
    <w:multiLevelType w:val="hybridMultilevel"/>
    <w:tmpl w:val="D468443A"/>
    <w:lvl w:ilvl="0" w:tplc="0809000F">
      <w:start w:val="1"/>
      <w:numFmt w:val="decimal"/>
      <w:lvlText w:val="%1."/>
      <w:lvlJc w:val="left"/>
      <w:pPr>
        <w:ind w:left="360" w:hanging="360"/>
      </w:pPr>
      <w:rPr>
        <w:rFonts w:hint="default"/>
      </w:rPr>
    </w:lvl>
    <w:lvl w:ilvl="1" w:tplc="D8D03F9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BC302C5"/>
    <w:multiLevelType w:val="hybridMultilevel"/>
    <w:tmpl w:val="A1246028"/>
    <w:lvl w:ilvl="0" w:tplc="C7082A22">
      <w:start w:val="1"/>
      <w:numFmt w:val="bullet"/>
      <w:lvlText w:val=""/>
      <w:lvlJc w:val="left"/>
      <w:pPr>
        <w:ind w:left="926" w:hanging="360"/>
      </w:pPr>
      <w:rPr>
        <w:rFonts w:ascii="Symbol" w:eastAsia="Times New Roman" w:hAnsi="Symbol" w:cs="Times New Roman"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9" w15:restartNumberingAfterBreak="0">
    <w:nsid w:val="5C5A3D57"/>
    <w:multiLevelType w:val="hybridMultilevel"/>
    <w:tmpl w:val="C8F61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E21961"/>
    <w:multiLevelType w:val="hybridMultilevel"/>
    <w:tmpl w:val="A8E4D8D2"/>
    <w:lvl w:ilvl="0" w:tplc="08090019">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22" w15:restartNumberingAfterBreak="0">
    <w:nsid w:val="63B272D4"/>
    <w:multiLevelType w:val="hybridMultilevel"/>
    <w:tmpl w:val="130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B703E7"/>
    <w:multiLevelType w:val="hybridMultilevel"/>
    <w:tmpl w:val="C41A9E1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8365C6"/>
    <w:multiLevelType w:val="multilevel"/>
    <w:tmpl w:val="E67CE66C"/>
    <w:lvl w:ilvl="0">
      <w:start w:val="1"/>
      <w:numFmt w:val="decimal"/>
      <w:lvlText w:val="%1."/>
      <w:lvlJc w:val="left"/>
      <w:pPr>
        <w:ind w:left="64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BDB51BD"/>
    <w:multiLevelType w:val="hybridMultilevel"/>
    <w:tmpl w:val="1376E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2C42F4"/>
    <w:multiLevelType w:val="hybridMultilevel"/>
    <w:tmpl w:val="6FFEFB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7FB76AA9"/>
    <w:multiLevelType w:val="hybridMultilevel"/>
    <w:tmpl w:val="5604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8"/>
  </w:num>
  <w:num w:numId="4">
    <w:abstractNumId w:val="5"/>
  </w:num>
  <w:num w:numId="5">
    <w:abstractNumId w:val="2"/>
  </w:num>
  <w:num w:numId="6">
    <w:abstractNumId w:val="27"/>
  </w:num>
  <w:num w:numId="7">
    <w:abstractNumId w:val="4"/>
  </w:num>
  <w:num w:numId="8">
    <w:abstractNumId w:val="23"/>
  </w:num>
  <w:num w:numId="9">
    <w:abstractNumId w:val="26"/>
  </w:num>
  <w:num w:numId="10">
    <w:abstractNumId w:val="1"/>
  </w:num>
  <w:num w:numId="11">
    <w:abstractNumId w:val="21"/>
  </w:num>
  <w:num w:numId="12">
    <w:abstractNumId w:val="3"/>
  </w:num>
  <w:num w:numId="13">
    <w:abstractNumId w:val="11"/>
  </w:num>
  <w:num w:numId="14">
    <w:abstractNumId w:val="0"/>
  </w:num>
  <w:num w:numId="15">
    <w:abstractNumId w:val="25"/>
  </w:num>
  <w:num w:numId="16">
    <w:abstractNumId w:val="6"/>
  </w:num>
  <w:num w:numId="17">
    <w:abstractNumId w:val="8"/>
  </w:num>
  <w:num w:numId="18">
    <w:abstractNumId w:val="22"/>
  </w:num>
  <w:num w:numId="19">
    <w:abstractNumId w:val="15"/>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9"/>
  </w:num>
  <w:num w:numId="24">
    <w:abstractNumId w:val="10"/>
  </w:num>
  <w:num w:numId="25">
    <w:abstractNumId w:val="12"/>
  </w:num>
  <w:num w:numId="26">
    <w:abstractNumId w:val="20"/>
  </w:num>
  <w:num w:numId="27">
    <w:abstractNumId w:val="13"/>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04"/>
    <w:rsid w:val="00003E37"/>
    <w:rsid w:val="00011126"/>
    <w:rsid w:val="00012F12"/>
    <w:rsid w:val="000250B4"/>
    <w:rsid w:val="0003557F"/>
    <w:rsid w:val="000908C5"/>
    <w:rsid w:val="000A75F8"/>
    <w:rsid w:val="000B503C"/>
    <w:rsid w:val="000B7741"/>
    <w:rsid w:val="000C1C4A"/>
    <w:rsid w:val="000C5E7A"/>
    <w:rsid w:val="000C7804"/>
    <w:rsid w:val="000D130C"/>
    <w:rsid w:val="000F677D"/>
    <w:rsid w:val="000F778C"/>
    <w:rsid w:val="00113E5A"/>
    <w:rsid w:val="00114F4C"/>
    <w:rsid w:val="00146F94"/>
    <w:rsid w:val="00147D12"/>
    <w:rsid w:val="00151FAF"/>
    <w:rsid w:val="0016359E"/>
    <w:rsid w:val="001713E2"/>
    <w:rsid w:val="0017425D"/>
    <w:rsid w:val="00195171"/>
    <w:rsid w:val="00195539"/>
    <w:rsid w:val="001B6BF2"/>
    <w:rsid w:val="001C106F"/>
    <w:rsid w:val="001D4AC5"/>
    <w:rsid w:val="001E5126"/>
    <w:rsid w:val="001F3014"/>
    <w:rsid w:val="001F4093"/>
    <w:rsid w:val="002161FE"/>
    <w:rsid w:val="00221E0B"/>
    <w:rsid w:val="00224CB5"/>
    <w:rsid w:val="00232F07"/>
    <w:rsid w:val="002365D7"/>
    <w:rsid w:val="00247667"/>
    <w:rsid w:val="00253E63"/>
    <w:rsid w:val="0026136A"/>
    <w:rsid w:val="00274FD7"/>
    <w:rsid w:val="00283440"/>
    <w:rsid w:val="0028507C"/>
    <w:rsid w:val="00287106"/>
    <w:rsid w:val="002B42F4"/>
    <w:rsid w:val="002D3151"/>
    <w:rsid w:val="002D6242"/>
    <w:rsid w:val="002F0832"/>
    <w:rsid w:val="003333C5"/>
    <w:rsid w:val="00347A14"/>
    <w:rsid w:val="00356E7D"/>
    <w:rsid w:val="0036191E"/>
    <w:rsid w:val="003665D7"/>
    <w:rsid w:val="00370087"/>
    <w:rsid w:val="00397536"/>
    <w:rsid w:val="003B33C6"/>
    <w:rsid w:val="003B3DB6"/>
    <w:rsid w:val="004156E9"/>
    <w:rsid w:val="00430524"/>
    <w:rsid w:val="0043384C"/>
    <w:rsid w:val="00461768"/>
    <w:rsid w:val="0049232A"/>
    <w:rsid w:val="004A7887"/>
    <w:rsid w:val="004B3176"/>
    <w:rsid w:val="004B7F0D"/>
    <w:rsid w:val="004C5734"/>
    <w:rsid w:val="004C75CE"/>
    <w:rsid w:val="004D2A4F"/>
    <w:rsid w:val="004E55D3"/>
    <w:rsid w:val="004F47DE"/>
    <w:rsid w:val="004F5BDB"/>
    <w:rsid w:val="004F660F"/>
    <w:rsid w:val="004F788C"/>
    <w:rsid w:val="00510F8C"/>
    <w:rsid w:val="00515E27"/>
    <w:rsid w:val="005229AA"/>
    <w:rsid w:val="00531D49"/>
    <w:rsid w:val="00547E28"/>
    <w:rsid w:val="00551F80"/>
    <w:rsid w:val="00555768"/>
    <w:rsid w:val="005713C5"/>
    <w:rsid w:val="00577A67"/>
    <w:rsid w:val="00577DA8"/>
    <w:rsid w:val="0058051A"/>
    <w:rsid w:val="00591FFF"/>
    <w:rsid w:val="005A0252"/>
    <w:rsid w:val="005B79F2"/>
    <w:rsid w:val="005C2AE5"/>
    <w:rsid w:val="005C2E58"/>
    <w:rsid w:val="005C52AE"/>
    <w:rsid w:val="005F006A"/>
    <w:rsid w:val="005F18F5"/>
    <w:rsid w:val="005F71DD"/>
    <w:rsid w:val="00600C50"/>
    <w:rsid w:val="00601FFA"/>
    <w:rsid w:val="00606569"/>
    <w:rsid w:val="006203A2"/>
    <w:rsid w:val="00622C0E"/>
    <w:rsid w:val="00625E90"/>
    <w:rsid w:val="006277D2"/>
    <w:rsid w:val="006524F5"/>
    <w:rsid w:val="00657174"/>
    <w:rsid w:val="00661440"/>
    <w:rsid w:val="00662F16"/>
    <w:rsid w:val="006729BC"/>
    <w:rsid w:val="006819BE"/>
    <w:rsid w:val="00692A49"/>
    <w:rsid w:val="006A5C71"/>
    <w:rsid w:val="006B5122"/>
    <w:rsid w:val="006B55B2"/>
    <w:rsid w:val="006C2498"/>
    <w:rsid w:val="006C4072"/>
    <w:rsid w:val="007078AF"/>
    <w:rsid w:val="007108C1"/>
    <w:rsid w:val="007115AA"/>
    <w:rsid w:val="00713B88"/>
    <w:rsid w:val="00714BE1"/>
    <w:rsid w:val="007212CF"/>
    <w:rsid w:val="00723DD9"/>
    <w:rsid w:val="0073686B"/>
    <w:rsid w:val="0074235B"/>
    <w:rsid w:val="00766105"/>
    <w:rsid w:val="00766D93"/>
    <w:rsid w:val="00773F30"/>
    <w:rsid w:val="007947E3"/>
    <w:rsid w:val="007B52E2"/>
    <w:rsid w:val="007B5D59"/>
    <w:rsid w:val="007E1F79"/>
    <w:rsid w:val="007E37A4"/>
    <w:rsid w:val="00802776"/>
    <w:rsid w:val="00811784"/>
    <w:rsid w:val="00820341"/>
    <w:rsid w:val="008219EE"/>
    <w:rsid w:val="00840506"/>
    <w:rsid w:val="008443D8"/>
    <w:rsid w:val="00847B61"/>
    <w:rsid w:val="00852A3F"/>
    <w:rsid w:val="0087093E"/>
    <w:rsid w:val="00887C41"/>
    <w:rsid w:val="00892763"/>
    <w:rsid w:val="008A255D"/>
    <w:rsid w:val="008B5623"/>
    <w:rsid w:val="008B749B"/>
    <w:rsid w:val="008B75C4"/>
    <w:rsid w:val="008C1B38"/>
    <w:rsid w:val="008D7861"/>
    <w:rsid w:val="00906CAA"/>
    <w:rsid w:val="00925DD2"/>
    <w:rsid w:val="009433C8"/>
    <w:rsid w:val="00952D90"/>
    <w:rsid w:val="0096032D"/>
    <w:rsid w:val="00961F54"/>
    <w:rsid w:val="00963732"/>
    <w:rsid w:val="00980FB3"/>
    <w:rsid w:val="00991A3B"/>
    <w:rsid w:val="00993EA2"/>
    <w:rsid w:val="009A377A"/>
    <w:rsid w:val="009A6741"/>
    <w:rsid w:val="009C57C7"/>
    <w:rsid w:val="009C6ED7"/>
    <w:rsid w:val="009D3161"/>
    <w:rsid w:val="00A21974"/>
    <w:rsid w:val="00A30B26"/>
    <w:rsid w:val="00A3243C"/>
    <w:rsid w:val="00A35173"/>
    <w:rsid w:val="00A414C5"/>
    <w:rsid w:val="00A531CB"/>
    <w:rsid w:val="00A57DD2"/>
    <w:rsid w:val="00A8021B"/>
    <w:rsid w:val="00A81EC9"/>
    <w:rsid w:val="00A85499"/>
    <w:rsid w:val="00A926D6"/>
    <w:rsid w:val="00A97F1B"/>
    <w:rsid w:val="00AF04EA"/>
    <w:rsid w:val="00AF5EEC"/>
    <w:rsid w:val="00B17F2F"/>
    <w:rsid w:val="00B3290D"/>
    <w:rsid w:val="00B32C49"/>
    <w:rsid w:val="00B3340C"/>
    <w:rsid w:val="00B65881"/>
    <w:rsid w:val="00B66B8B"/>
    <w:rsid w:val="00B72136"/>
    <w:rsid w:val="00B72C71"/>
    <w:rsid w:val="00B73B72"/>
    <w:rsid w:val="00B94823"/>
    <w:rsid w:val="00BC3532"/>
    <w:rsid w:val="00BC76F9"/>
    <w:rsid w:val="00BE3C61"/>
    <w:rsid w:val="00BF5938"/>
    <w:rsid w:val="00C0496C"/>
    <w:rsid w:val="00C069BF"/>
    <w:rsid w:val="00C22B92"/>
    <w:rsid w:val="00C25998"/>
    <w:rsid w:val="00C55292"/>
    <w:rsid w:val="00C56616"/>
    <w:rsid w:val="00C82B3B"/>
    <w:rsid w:val="00C85CDE"/>
    <w:rsid w:val="00C940B6"/>
    <w:rsid w:val="00CC2EDB"/>
    <w:rsid w:val="00CC7363"/>
    <w:rsid w:val="00CE2DAC"/>
    <w:rsid w:val="00D0687B"/>
    <w:rsid w:val="00D3786E"/>
    <w:rsid w:val="00D47023"/>
    <w:rsid w:val="00D512B9"/>
    <w:rsid w:val="00D57BF3"/>
    <w:rsid w:val="00D8556D"/>
    <w:rsid w:val="00D86A79"/>
    <w:rsid w:val="00D964B7"/>
    <w:rsid w:val="00DA61D1"/>
    <w:rsid w:val="00DC4421"/>
    <w:rsid w:val="00DE5328"/>
    <w:rsid w:val="00DF3727"/>
    <w:rsid w:val="00E20881"/>
    <w:rsid w:val="00E23D50"/>
    <w:rsid w:val="00E36B94"/>
    <w:rsid w:val="00E37B28"/>
    <w:rsid w:val="00E50EC0"/>
    <w:rsid w:val="00E60879"/>
    <w:rsid w:val="00E85125"/>
    <w:rsid w:val="00E9300B"/>
    <w:rsid w:val="00E932F0"/>
    <w:rsid w:val="00E97004"/>
    <w:rsid w:val="00EA0C77"/>
    <w:rsid w:val="00EC0D23"/>
    <w:rsid w:val="00EC0E57"/>
    <w:rsid w:val="00EC1C35"/>
    <w:rsid w:val="00EC48D3"/>
    <w:rsid w:val="00EC605D"/>
    <w:rsid w:val="00ED5904"/>
    <w:rsid w:val="00EE716F"/>
    <w:rsid w:val="00EF37E9"/>
    <w:rsid w:val="00EF3DAD"/>
    <w:rsid w:val="00F16E82"/>
    <w:rsid w:val="00F602A3"/>
    <w:rsid w:val="00F97D6A"/>
    <w:rsid w:val="00FC1F2E"/>
    <w:rsid w:val="00FC4B7E"/>
    <w:rsid w:val="00FD4982"/>
    <w:rsid w:val="00FE1F42"/>
    <w:rsid w:val="00FF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AFBF92-2FC9-4484-8987-3E6CDADC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692A49"/>
    <w:pPr>
      <w:spacing w:before="120" w:after="120"/>
      <w:outlineLvl w:val="0"/>
    </w:pPr>
    <w:rPr>
      <w:b/>
    </w:rPr>
  </w:style>
  <w:style w:type="paragraph" w:styleId="Heading2">
    <w:name w:val="heading 2"/>
    <w:basedOn w:val="Normal"/>
    <w:next w:val="Normal"/>
    <w:qFormat/>
    <w:rsid w:val="00692A49"/>
    <w:pPr>
      <w:spacing w:after="120"/>
      <w:ind w:left="425" w:right="45"/>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link w:val="ListParagraphChar"/>
    <w:uiPriority w:val="34"/>
    <w:qFormat/>
    <w:rsid w:val="009A377A"/>
    <w:pPr>
      <w:ind w:left="720"/>
    </w:pPr>
  </w:style>
  <w:style w:type="character" w:styleId="Hyperlink">
    <w:name w:val="Hyperlink"/>
    <w:rsid w:val="00766105"/>
    <w:rPr>
      <w:color w:val="0000FF"/>
      <w:u w:val="single"/>
    </w:rPr>
  </w:style>
  <w:style w:type="character" w:customStyle="1" w:styleId="ListParagraphChar">
    <w:name w:val="List Paragraph Char"/>
    <w:link w:val="ListParagraph"/>
    <w:uiPriority w:val="34"/>
    <w:rsid w:val="008B5623"/>
    <w:rPr>
      <w:rFonts w:ascii="Arial" w:hAnsi="Arial"/>
      <w:sz w:val="24"/>
      <w:szCs w:val="24"/>
      <w:lang w:eastAsia="en-US"/>
    </w:rPr>
  </w:style>
  <w:style w:type="numbering" w:customStyle="1" w:styleId="StyleNumberedLeft0cmHanging075cm">
    <w:name w:val="Style Numbered Left:  0 cm Hanging:  0.75 cm"/>
    <w:basedOn w:val="NoList"/>
    <w:rsid w:val="008B5623"/>
    <w:pPr>
      <w:numPr>
        <w:numId w:val="10"/>
      </w:numPr>
    </w:pPr>
  </w:style>
  <w:style w:type="table" w:styleId="TableGrid">
    <w:name w:val="Table Grid"/>
    <w:basedOn w:val="TableNormal"/>
    <w:uiPriority w:val="59"/>
    <w:rsid w:val="00555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00561">
      <w:bodyDiv w:val="1"/>
      <w:marLeft w:val="0"/>
      <w:marRight w:val="0"/>
      <w:marTop w:val="0"/>
      <w:marBottom w:val="0"/>
      <w:divBdr>
        <w:top w:val="none" w:sz="0" w:space="0" w:color="auto"/>
        <w:left w:val="none" w:sz="0" w:space="0" w:color="auto"/>
        <w:bottom w:val="none" w:sz="0" w:space="0" w:color="auto"/>
        <w:right w:val="none" w:sz="0" w:space="0" w:color="auto"/>
      </w:divBdr>
    </w:div>
    <w:div w:id="1881435755">
      <w:bodyDiv w:val="1"/>
      <w:marLeft w:val="0"/>
      <w:marRight w:val="0"/>
      <w:marTop w:val="0"/>
      <w:marBottom w:val="0"/>
      <w:divBdr>
        <w:top w:val="none" w:sz="0" w:space="0" w:color="auto"/>
        <w:left w:val="none" w:sz="0" w:space="0" w:color="auto"/>
        <w:bottom w:val="none" w:sz="0" w:space="0" w:color="auto"/>
        <w:right w:val="none" w:sz="0" w:space="0" w:color="auto"/>
      </w:divBdr>
    </w:div>
    <w:div w:id="20238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nkennedy@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349C4-86B7-429B-9947-F7674EAE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170E37B9.dotm</Template>
  <TotalTime>531</TotalTime>
  <Pages>7</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12562</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THOMPSON Jennifer</cp:lastModifiedBy>
  <cp:revision>14</cp:revision>
  <cp:lastPrinted>2008-06-11T13:21:00Z</cp:lastPrinted>
  <dcterms:created xsi:type="dcterms:W3CDTF">2019-07-19T15:23:00Z</dcterms:created>
  <dcterms:modified xsi:type="dcterms:W3CDTF">2020-11-16T17:15:00Z</dcterms:modified>
</cp:coreProperties>
</file>